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A4" w:rsidRDefault="00931CA4" w:rsidP="00931CA4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 xml:space="preserve"> </w:t>
      </w:r>
      <w:r w:rsidRPr="00931CA4"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el-GR"/>
        </w:rPr>
        <w:t>ΣΥΝΤΑΚΤΙΚΟ Αρχαία Ελληνικά Το Αντικείμενο ( Θεωρία –ασκήσεις)</w:t>
      </w:r>
    </w:p>
    <w:p w:rsidR="00931CA4" w:rsidRDefault="00931CA4" w:rsidP="00931CA4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el-GR"/>
        </w:rPr>
      </w:pPr>
    </w:p>
    <w:p w:rsidR="00931CA4" w:rsidRDefault="00931CA4" w:rsidP="00931CA4">
      <w:pPr>
        <w:shd w:val="clear" w:color="auto" w:fill="FFFFFF"/>
        <w:spacing w:before="180" w:after="0" w:line="240" w:lineRule="auto"/>
        <w:outlineLvl w:val="2"/>
      </w:pPr>
      <w:hyperlink r:id="rId4" w:history="1">
        <w:r>
          <w:rPr>
            <w:rStyle w:val="-"/>
          </w:rPr>
          <w:t>http://users.sch.gr/ipap/Ellinikos%20Politismos/Yliko/Theoria%20arxaia/antikeimeno01.htm</w:t>
        </w:r>
      </w:hyperlink>
    </w:p>
    <w:p w:rsidR="00797A0C" w:rsidRPr="00931CA4" w:rsidRDefault="00797A0C" w:rsidP="00931CA4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26"/>
          <w:szCs w:val="26"/>
          <w:u w:val="single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Αντικείμενο</w:t>
      </w:r>
      <w:r w:rsidRPr="00931CA4">
        <w:rPr>
          <w:rFonts w:ascii="Calibri" w:eastAsia="Times New Roman" w:hAnsi="Calibri" w:cs="Arial"/>
          <w:color w:val="000000"/>
          <w:lang w:eastAsia="el-GR"/>
        </w:rPr>
        <w:t> ονομάζεται ο όρος της πρότασης που δηλώνει το πρόσωπο, το ζώο ή το πράγμα στο οποίο μεταβαίνει ή στο οποίο αναφέρεται η ενέργεια του υποκειμένου.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Το αντικείμενο, τίθεται πάντοτε σε μια από τις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πλάγιες πτώσεις: γενική, δοτική, αιτιατική</w:t>
      </w:r>
      <w:r w:rsidRPr="00931CA4">
        <w:rPr>
          <w:rFonts w:ascii="Calibri" w:eastAsia="Times New Roman" w:hAnsi="Calibri" w:cs="Arial"/>
          <w:color w:val="000000"/>
          <w:lang w:eastAsia="el-GR"/>
        </w:rPr>
        <w:t>. 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>
        <w:rPr>
          <w:rFonts w:ascii="Calibri" w:eastAsia="Times New Roman" w:hAnsi="Calibri" w:cs="Arial"/>
          <w:b/>
          <w:bCs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ΠΡΟΣΟΧΗ:</w:t>
      </w:r>
      <w:r w:rsidRPr="00931CA4">
        <w:rPr>
          <w:rFonts w:ascii="Calibri" w:eastAsia="Times New Roman" w:hAnsi="Calibri" w:cs="Arial"/>
          <w:color w:val="000000"/>
          <w:lang w:eastAsia="el-GR"/>
        </w:rPr>
        <w:t> Το υποκείμενο του ρήματος βρίσκεται σε πτώση ονομαστική ενώ το αντικείμενο βρίσκεται στις πλάγιες πτώσεις, τη γενική, τη δοτική και την αιτιατική.</w:t>
      </w:r>
    </w:p>
    <w:p w:rsidR="00931CA4" w:rsidRPr="00931CA4" w:rsidRDefault="00931CA4" w:rsidP="00931CA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bookmarkStart w:id="0" w:name="more"/>
      <w:bookmarkEnd w:id="0"/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b/>
          <w:bCs/>
          <w:color w:val="000000"/>
          <w:u w:val="single"/>
          <w:lang w:eastAsia="el-GR"/>
        </w:rPr>
        <w:t>Ως αντικείμενο τίθεται:   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 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α)</w:t>
      </w: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Oυσιαστικό</w:t>
      </w:r>
      <w:r w:rsidRPr="00931CA4">
        <w:rPr>
          <w:rFonts w:ascii="Calibri" w:eastAsia="Times New Roman" w:hAnsi="Calibri" w:cs="Arial"/>
          <w:color w:val="000000"/>
          <w:lang w:eastAsia="el-GR"/>
        </w:rPr>
        <w:t>: Οἱ Ἀθηναῖοι ἐφρούρουν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τὰ τείχη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β)</w:t>
      </w: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Επίθετο</w:t>
      </w:r>
      <w:r w:rsidRPr="00931CA4">
        <w:rPr>
          <w:rFonts w:ascii="Calibri" w:eastAsia="Times New Roman" w:hAnsi="Calibri" w:cs="Arial"/>
          <w:color w:val="000000"/>
          <w:lang w:eastAsia="el-GR"/>
        </w:rPr>
        <w:t>,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μετοχή</w:t>
      </w:r>
      <w:r w:rsidRPr="00931CA4">
        <w:rPr>
          <w:rFonts w:ascii="Calibri" w:eastAsia="Times New Roman" w:hAnsi="Calibri" w:cs="Arial"/>
          <w:color w:val="000000"/>
          <w:lang w:eastAsia="el-GR"/>
        </w:rPr>
        <w:t> ή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αντωνυμία</w:t>
      </w:r>
      <w:r w:rsidRPr="00931CA4">
        <w:rPr>
          <w:rFonts w:ascii="Calibri" w:eastAsia="Times New Roman" w:hAnsi="Calibri" w:cs="Arial"/>
          <w:color w:val="000000"/>
          <w:lang w:eastAsia="el-GR"/>
        </w:rPr>
        <w:t>: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Τοὺς ξένους</w:t>
      </w:r>
      <w:r w:rsidRPr="00931CA4">
        <w:rPr>
          <w:rFonts w:ascii="Calibri" w:eastAsia="Times New Roman" w:hAnsi="Calibri" w:cs="Arial"/>
          <w:color w:val="000000"/>
          <w:lang w:eastAsia="el-GR"/>
        </w:rPr>
        <w:t> ἀδικεῖ σφόδρα. Εὐμενῶς ἐδέξατο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ἡμᾶς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γ)</w:t>
      </w: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Απαρέμφατο</w:t>
      </w:r>
      <w:r w:rsidRPr="00931CA4">
        <w:rPr>
          <w:rFonts w:ascii="Calibri" w:eastAsia="Times New Roman" w:hAnsi="Calibri" w:cs="Arial"/>
          <w:color w:val="000000"/>
          <w:lang w:eastAsia="el-GR"/>
        </w:rPr>
        <w:t> (άναρθρο ή έναρθρο): Ξύνεδροι βούλονται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γίγνεσθαι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  <w:t>Οἱ ἔφιπποι φοβοῦνται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τὸ καταπεσεῖν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δ)</w:t>
      </w: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Άκλιτη λέξη</w:t>
      </w:r>
      <w:r w:rsidRPr="00931CA4">
        <w:rPr>
          <w:rFonts w:ascii="Calibri" w:eastAsia="Times New Roman" w:hAnsi="Calibri" w:cs="Arial"/>
          <w:color w:val="000000"/>
          <w:lang w:eastAsia="el-GR"/>
        </w:rPr>
        <w:t> ή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φράση</w:t>
      </w:r>
      <w:r w:rsidRPr="00931CA4">
        <w:rPr>
          <w:rFonts w:ascii="Calibri" w:eastAsia="Times New Roman" w:hAnsi="Calibri" w:cs="Arial"/>
          <w:color w:val="000000"/>
          <w:lang w:eastAsia="el-GR"/>
        </w:rPr>
        <w:t> με άρθρο: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Τοὺς μὲν</w:t>
      </w:r>
      <w:r w:rsidRPr="00931CA4">
        <w:rPr>
          <w:rFonts w:ascii="Calibri" w:eastAsia="Times New Roman" w:hAnsi="Calibri" w:cs="Arial"/>
          <w:color w:val="000000"/>
          <w:lang w:eastAsia="el-GR"/>
        </w:rPr>
        <w:t> ἀπέκτεινε,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τοὺς δὲ</w:t>
      </w:r>
      <w:r w:rsidRPr="00931CA4">
        <w:rPr>
          <w:rFonts w:ascii="Calibri" w:eastAsia="Times New Roman" w:hAnsi="Calibri" w:cs="Arial"/>
          <w:color w:val="000000"/>
          <w:lang w:eastAsia="el-GR"/>
        </w:rPr>
        <w:t> ἠνδραπόδισε. (υποδούλωσε)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ε)</w:t>
      </w: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Εμπρόθετος προσδιορισμός</w:t>
      </w:r>
      <w:r w:rsidRPr="00931CA4">
        <w:rPr>
          <w:rFonts w:ascii="Calibri" w:eastAsia="Times New Roman" w:hAnsi="Calibri" w:cs="Arial"/>
          <w:color w:val="000000"/>
          <w:lang w:eastAsia="el-GR"/>
        </w:rPr>
        <w:t> με ή χωρίς άρθρο: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  <w:t>Ἑώρων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τοὺς ἀπὸ Φυλῆς</w:t>
      </w:r>
      <w:r w:rsidRPr="00931CA4">
        <w:rPr>
          <w:rFonts w:ascii="Calibri" w:eastAsia="Times New Roman" w:hAnsi="Calibri" w:cs="Arial"/>
          <w:color w:val="000000"/>
          <w:lang w:eastAsia="el-GR"/>
        </w:rPr>
        <w:t> εὐτυχοῦντας.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  <w:t>Διέφθειραν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ἐς ὀκτακοσίους</w:t>
      </w:r>
      <w:r w:rsidRPr="00931CA4">
        <w:rPr>
          <w:rFonts w:ascii="Calibri" w:eastAsia="Times New Roman" w:hAnsi="Calibri" w:cs="Arial"/>
          <w:color w:val="000000"/>
          <w:lang w:eastAsia="el-GR"/>
        </w:rPr>
        <w:t>. (Σκότωσαν περίπου οχτακόσιους.)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στ)</w:t>
      </w: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Δευτερεύουσα ονοματική πρόταση</w:t>
      </w:r>
      <w:r>
        <w:rPr>
          <w:rFonts w:ascii="Calibri" w:eastAsia="Times New Roman" w:hAnsi="Calibri" w:cs="Arial"/>
          <w:color w:val="000000"/>
          <w:lang w:eastAsia="el-GR"/>
        </w:rPr>
        <w:t xml:space="preserve">  π.χ </w:t>
      </w:r>
      <w:r w:rsidRPr="00931CA4">
        <w:rPr>
          <w:rFonts w:ascii="Calibri" w:eastAsia="Times New Roman" w:hAnsi="Calibri" w:cs="Arial"/>
          <w:color w:val="000000"/>
          <w:lang w:eastAsia="el-GR"/>
        </w:rPr>
        <w:t>Λέγουσιν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ὅτι δεκαταῖος ἀφίκετο ἐπὶ τὸ ὄρος</w:t>
      </w:r>
      <w:r w:rsidRPr="00931CA4">
        <w:rPr>
          <w:rFonts w:ascii="Calibri" w:eastAsia="Times New Roman" w:hAnsi="Calibri" w:cs="Arial"/>
          <w:color w:val="000000"/>
          <w:lang w:eastAsia="el-GR"/>
        </w:rPr>
        <w:t>.  </w:t>
      </w:r>
      <w:r>
        <w:rPr>
          <w:rFonts w:ascii="Calibri" w:eastAsia="Times New Roman" w:hAnsi="Calibri" w:cs="Arial"/>
          <w:color w:val="000000"/>
          <w:lang w:eastAsia="el-GR"/>
        </w:rPr>
        <w:t>/</w:t>
      </w:r>
      <w:r w:rsidRPr="00931CA4">
        <w:rPr>
          <w:rFonts w:ascii="Calibri" w:eastAsia="Times New Roman" w:hAnsi="Calibri" w:cs="Arial"/>
          <w:color w:val="000000"/>
          <w:lang w:eastAsia="el-GR"/>
        </w:rPr>
        <w:t>   Φοβεῖται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μὴ τὰ ἔσχατα πάθῃ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tbl>
      <w:tblPr>
        <w:tblW w:w="0" w:type="auto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2827"/>
        <w:gridCol w:w="3518"/>
        <w:gridCol w:w="2136"/>
      </w:tblGrid>
      <w:tr w:rsidR="00931CA4" w:rsidRPr="00931CA4" w:rsidTr="00931CA4">
        <w:trPr>
          <w:trHeight w:val="139"/>
        </w:trPr>
        <w:tc>
          <w:tcPr>
            <w:tcW w:w="8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24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           Τα ενεργητικά ρήματα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, δηλαδή όσα σημαίνουν ότι το υποκείμενο ενεργεί, διακρίνονται σε δυο κατηγορίες, τα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αμετάβατα και  τα μεταβατικά.</w:t>
            </w:r>
          </w:p>
        </w:tc>
      </w:tr>
      <w:tr w:rsidR="00931CA4" w:rsidRPr="00931CA4" w:rsidTr="00931CA4">
        <w:trPr>
          <w:trHeight w:val="139"/>
        </w:trPr>
        <w:tc>
          <w:tcPr>
            <w:tcW w:w="6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           Μεταβατικά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 λέγονται τα ρήματα εκείνα που δηλώνουν ότι η ενέργεια του υποκειμένου τους μεταβαίνει σε ένα άλλο πρόσωπο ή πράγμα το οποίο ονομάζεται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αντικείμενο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. Το αντικείμενο τίθεται πάντα σε μια από τις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πλάγιες πτώσεις (γενική, δοτική, αιτιατική)</w:t>
            </w:r>
            <w:r w:rsidRPr="00931C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</w:p>
          <w:p w:rsidR="00931CA4" w:rsidRPr="00931CA4" w:rsidRDefault="00931CA4" w:rsidP="009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        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Τα μεταβατικά ρήματα διακρίνονται σε:</w:t>
            </w:r>
          </w:p>
          <w:p w:rsidR="00931CA4" w:rsidRPr="00931CA4" w:rsidRDefault="00931CA4" w:rsidP="00931CA4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Αμετάβατα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 λέγονται εκείνα  τα οποία δηλώνουν ότι το υποκείμενο ενεργεί, χωρίς όμως η ενέργειά του να μεταβαίνει σε άλλο πρόσωπο ή πράγμα        π.χ. Ουτος φευγει</w:t>
            </w:r>
          </w:p>
        </w:tc>
      </w:tr>
      <w:tr w:rsidR="00931CA4" w:rsidRPr="00931CA4" w:rsidTr="00931CA4">
        <w:trPr>
          <w:trHeight w:val="139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br/>
              <w:t>α)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Μονόπτωτα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· δέχονται ένα αντικείμενο ή περισσότερα στην ίδια πλάγια πτώση, τα οποία συνδέονται μεταξύ τους παρατακτικά ή χωρίζονται με κόμμα: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r w:rsidRPr="00931CA4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Ἐπαινοῦμεν </w:t>
            </w:r>
            <w:r w:rsidRPr="00931C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τοὺς δικαίους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931CA4" w:rsidRPr="00931CA4" w:rsidRDefault="00931CA4" w:rsidP="009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β)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Δίπτωτα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· δέχονται δύο αντικείμενα σε δύο διαφορετικές πλάγιες πτώσεις ή δύο αντικείμενα σε αιτιατική, από τα οποία το ένα είναι πρόσωπο και το άλλο πράγμα: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</w:r>
            <w:r w:rsidRPr="00931CA4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Ἔδωκε </w:t>
            </w:r>
            <w:r w:rsidRPr="00931C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τὰ γράμματα τοῖς φίλοις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.    </w:t>
            </w:r>
            <w:r w:rsidRPr="00931CA4">
              <w:rPr>
                <w:rFonts w:ascii="Calibri" w:eastAsia="Times New Roman" w:hAnsi="Calibri" w:cs="Times New Roman"/>
                <w:i/>
                <w:iCs/>
                <w:color w:val="000000"/>
                <w:lang w:eastAsia="el-GR"/>
              </w:rPr>
              <w:t>Διδάσκουσι </w:t>
            </w:r>
            <w:r w:rsidRPr="00931C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el-GR"/>
              </w:rPr>
              <w:t>τοὺς παῖδας σωφροσύνην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.</w:t>
            </w:r>
          </w:p>
          <w:p w:rsidR="00931CA4" w:rsidRPr="00931CA4" w:rsidRDefault="00931CA4" w:rsidP="00931CA4">
            <w:pPr>
              <w:spacing w:after="0" w:line="13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l-GR"/>
              </w:rPr>
            </w:pPr>
          </w:p>
        </w:tc>
      </w:tr>
      <w:tr w:rsidR="00931CA4" w:rsidRPr="00931CA4" w:rsidTr="00931CA4">
        <w:trPr>
          <w:trHeight w:val="313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br/>
              <w:t>Στα δίπτωτα ρήματα υπάρχει:</w:t>
            </w:r>
            <w:r w:rsidRPr="00931C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Α) </w:t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Το άμεσο Αντικείμενο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 (μεταβαίνει άμεσα η ενέργεια του Υποκειμένου)</w:t>
            </w:r>
            <w:r w:rsidRPr="00931CA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</w: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Και Β) το έμμεσο Αντικείμενο</w:t>
            </w:r>
            <w:r w:rsidRPr="00931CA4">
              <w:rPr>
                <w:rFonts w:ascii="Calibri" w:eastAsia="Times New Roman" w:hAnsi="Calibri" w:cs="Times New Roman"/>
                <w:color w:val="000000"/>
                <w:lang w:eastAsia="el-GR"/>
              </w:rPr>
              <w:t>(μεταβαίνει έμμεσα η ενέργεια του Υποκειμένου)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          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    Το αντικείμενο μπορεί να παραλείπεται, όταν εύκολα εννοείται: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i/>
          <w:iCs/>
          <w:color w:val="000000"/>
          <w:lang w:eastAsia="el-GR"/>
        </w:rPr>
        <w:t>Τἀληθῆ ἐρῶ καὶ οὐκ ἀποκρύψομαι</w:t>
      </w:r>
      <w:r w:rsidRPr="00931CA4">
        <w:rPr>
          <w:rFonts w:ascii="Calibri" w:eastAsia="Times New Roman" w:hAnsi="Calibri" w:cs="Arial"/>
          <w:color w:val="000000"/>
          <w:lang w:eastAsia="el-GR"/>
        </w:rPr>
        <w:t>. [</w:t>
      </w:r>
      <w:r w:rsidRPr="00931CA4">
        <w:rPr>
          <w:rFonts w:ascii="Calibri" w:eastAsia="Times New Roman" w:hAnsi="Calibri" w:cs="Arial"/>
          <w:b/>
          <w:bCs/>
          <w:i/>
          <w:iCs/>
          <w:color w:val="000000"/>
          <w:lang w:eastAsia="el-GR"/>
        </w:rPr>
        <w:t>τἀληθῆ</w:t>
      </w:r>
      <w:r w:rsidRPr="00931CA4">
        <w:rPr>
          <w:rFonts w:ascii="Calibri" w:eastAsia="Times New Roman" w:hAnsi="Calibri" w:cs="Arial"/>
          <w:color w:val="000000"/>
          <w:lang w:eastAsia="el-GR"/>
        </w:rPr>
        <w:t> ]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Αντί της αιτιατικής πράγματος</w:t>
      </w:r>
      <w:r w:rsidRPr="00931CA4">
        <w:rPr>
          <w:rFonts w:ascii="Calibri" w:eastAsia="Times New Roman" w:hAnsi="Calibri" w:cs="Arial"/>
          <w:color w:val="000000"/>
          <w:lang w:eastAsia="el-GR"/>
        </w:rPr>
        <w:t> ως αντικείμενο μπορεί να τεθεί </w:t>
      </w: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απαρέμφατο ή, δευτερεύουσα πρόταση: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i/>
          <w:iCs/>
          <w:color w:val="000000"/>
          <w:lang w:eastAsia="el-GR"/>
        </w:rPr>
        <w:t>Ἐκέλευσεν τοὺς τοξότας </w:t>
      </w:r>
      <w:r w:rsidRPr="00931CA4">
        <w:rPr>
          <w:rFonts w:ascii="Calibri" w:eastAsia="Times New Roman" w:hAnsi="Calibri" w:cs="Arial"/>
          <w:b/>
          <w:bCs/>
          <w:i/>
          <w:iCs/>
          <w:color w:val="000000"/>
          <w:lang w:eastAsia="el-GR"/>
        </w:rPr>
        <w:t>ἐκτοξεύειν</w:t>
      </w:r>
      <w:r w:rsidRPr="00931CA4">
        <w:rPr>
          <w:rFonts w:ascii="Calibri" w:eastAsia="Times New Roman" w:hAnsi="Calibri" w:cs="Arial"/>
          <w:i/>
          <w:iCs/>
          <w:color w:val="000000"/>
          <w:lang w:eastAsia="el-GR"/>
        </w:rPr>
        <w:t> ἐς τοὺς βαρβάρους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</w:r>
      <w:r w:rsidRPr="00931CA4">
        <w:rPr>
          <w:rFonts w:ascii="Calibri" w:eastAsia="Times New Roman" w:hAnsi="Calibri" w:cs="Arial"/>
          <w:i/>
          <w:iCs/>
          <w:color w:val="000000"/>
          <w:lang w:eastAsia="el-GR"/>
        </w:rPr>
        <w:t>Δείξομεν τοῖς βαρβάροις </w:t>
      </w:r>
      <w:r w:rsidRPr="00931CA4">
        <w:rPr>
          <w:rFonts w:ascii="Calibri" w:eastAsia="Times New Roman" w:hAnsi="Calibri" w:cs="Arial"/>
          <w:b/>
          <w:bCs/>
          <w:i/>
          <w:iCs/>
          <w:color w:val="000000"/>
          <w:lang w:eastAsia="el-GR"/>
        </w:rPr>
        <w:t>ὅτι δυνάμεθα τοὺς ἐχθροὺς τιμωρεῖσθαι</w:t>
      </w:r>
      <w:r w:rsidRPr="00931CA4">
        <w:rPr>
          <w:rFonts w:ascii="Calibri" w:eastAsia="Times New Roman" w:hAnsi="Calibri" w:cs="Arial"/>
          <w:color w:val="000000"/>
          <w:lang w:eastAsia="el-GR"/>
        </w:rPr>
        <w:t>.</w:t>
      </w:r>
      <w:r w:rsidRPr="00931CA4">
        <w:rPr>
          <w:rFonts w:ascii="Calibri" w:eastAsia="Times New Roman" w:hAnsi="Calibri" w:cs="Arial"/>
          <w:color w:val="000000"/>
          <w:lang w:eastAsia="el-GR"/>
        </w:rPr>
        <w:br/>
        <w:t>  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Με βάση την πτώση εκφοράς του αντικειμένου, άμεσο είναι το αντικείμενο σε αιτιατική και έμμεσο το αντικείμενο σε γενική ή δοτική. Όταν το ρήμα συντάσσεται με γενική και δοτική, άμεσο είναι το αντικείμενο σε γενική, ενώ, όταν το ρήμα συντάσσεται με δύο αιτιατικές, άμεσο είναι το αντικείμενο που δηλώνει πρόσωπο:</w:t>
      </w:r>
    </w:p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tbl>
      <w:tblPr>
        <w:tblW w:w="0" w:type="auto"/>
        <w:jc w:val="center"/>
        <w:shd w:val="clear" w:color="auto" w:fill="FDE9D9"/>
        <w:tblCellMar>
          <w:left w:w="0" w:type="dxa"/>
          <w:right w:w="0" w:type="dxa"/>
        </w:tblCellMar>
        <w:tblLook w:val="04A0"/>
      </w:tblPr>
      <w:tblGrid>
        <w:gridCol w:w="3119"/>
        <w:gridCol w:w="3119"/>
      </w:tblGrid>
      <w:tr w:rsidR="00931CA4" w:rsidRPr="00931CA4" w:rsidTr="00931CA4">
        <w:trPr>
          <w:trHeight w:val="316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Άμεσο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Έμμεσο</w:t>
            </w:r>
          </w:p>
        </w:tc>
      </w:tr>
      <w:tr w:rsidR="00931CA4" w:rsidRPr="00931CA4" w:rsidTr="00931CA4">
        <w:trPr>
          <w:trHeight w:val="332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Αιτιατική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  ,Δοτική</w:t>
            </w:r>
          </w:p>
        </w:tc>
      </w:tr>
      <w:tr w:rsidR="00931CA4" w:rsidRPr="00931CA4" w:rsidTr="00931CA4">
        <w:trPr>
          <w:trHeight w:val="964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Αιτιατική προσώπου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Αιτιατική πράγματος</w:t>
            </w:r>
          </w:p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Απαρέμφατο</w:t>
            </w:r>
          </w:p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Δευτερεύουσα πρόταση</w:t>
            </w:r>
          </w:p>
        </w:tc>
      </w:tr>
      <w:tr w:rsidR="00931CA4" w:rsidRPr="00931CA4" w:rsidTr="00931CA4">
        <w:trPr>
          <w:trHeight w:val="316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Δοτική</w:t>
            </w:r>
          </w:p>
        </w:tc>
      </w:tr>
      <w:tr w:rsidR="00931CA4" w:rsidRPr="00931CA4" w:rsidTr="00931CA4">
        <w:trPr>
          <w:trHeight w:val="980"/>
          <w:jc w:val="center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Αιτιατική πράγματος</w:t>
            </w:r>
          </w:p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Απαρέμφατο</w:t>
            </w:r>
          </w:p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Δευτερεύουσα πρόταση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4" w:rsidRPr="00931CA4" w:rsidRDefault="00931CA4" w:rsidP="00931CA4">
            <w:pPr>
              <w:spacing w:after="0" w:line="18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31CA4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  ,Δοτική</w:t>
            </w:r>
          </w:p>
        </w:tc>
      </w:tr>
    </w:tbl>
    <w:p w:rsidR="00931CA4" w:rsidRPr="00931CA4" w:rsidRDefault="00931CA4" w:rsidP="00931CA4">
      <w:pPr>
        <w:shd w:val="clear" w:color="auto" w:fill="FFFFFF"/>
        <w:spacing w:after="0" w:line="182" w:lineRule="atLeast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el-GR"/>
        </w:rPr>
        <w:t>Ασκήσεις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>1)    Στις παρακάτω προτάσεις να βρείτε το αντικείμενο.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α. Ἡ τοῦ Θεοῦ φρόνησις πάντων ἐπιμελεῖται.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β. Ἀνθρώπου ψυχὴ τοῦ θείου μετέχει.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γ. Τὸ τῆς πόλεως ἦθος ὁμοιοῦται τοῖς ἄρχουσι.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δ. Στέργε μὲν τὰ παρόντα, ζήτει δὲ τὰ βέλτιστα.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ε.Ἐν ἀρχῇ ὁ Θεὸς ἐποίησε τὴν γῆν.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el-GR"/>
        </w:rPr>
        <w:t>2. Να υπογραμμίσετε τα αντικείμενα των δίπτωτων ρημάτων στις παρακάτω προτάσεις.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α. Οἱ Κορίνθιοι χρήματα ᾔτησαν τοὺς Θηβαίους.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β. Οὐκ ἀποκρύψω σε τὴν ἐμὴν οὐσίαν.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γ. Τὰς πόλεις ἐκένωσαν τῶν ἀγαθῶν ἀνδρῶν.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δ. Τὴν πόλιν τοῦ δέους ἀπήλλαξαν.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ε. Προμηθεὺς ἔδωκε τοῖς ἀνθρώποις τὸ πῦρ.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στ. Οἱ θεοὶ παρέχουσι πλεῖστα ἀγαθὰ τοῖς ἀνθρώποις.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b/>
          <w:bCs/>
          <w:color w:val="000000"/>
          <w:lang w:eastAsia="el-GR"/>
        </w:rPr>
        <w:t>3)  Στις παρακάτω προτάσεις να βρείτε το ή τα αντικείμενα των ρημάτων. Για τα δίπτωτα ρήματα να διακρίνετε το άμεσο και το έμμεσο αντικείμενο.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-Ἀποδώσω τά ἡμίσεα τοῖς φίλοις.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Διδάσκει τούς νέους τήν ἀρετήν.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Ἔπεισαν τούς Θηβαίους βοηθεῖν.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Ἡ ἀριθμητική διδάσκει ἡμᾶς ὅσα ἐστίν τά τοῦ ἀριθμοῦ.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-Τῶν τιμῶν τοῖς φίλοις μεταλαμβάνομεν.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-Πρόξενος ἐδεῖτο τοῦ Κλεάρχου μή ποιεῖν ταῦτα.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Εἶπε τῷ Ξενοφῶντι ὅτι ἀποπέμψει αὐτόν.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-Οἱ νέοι πρεσβυτέροις διαμιλλῶνται.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-Οὐδὲν αὐτοῖς ἀπεκρίνατο.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-Παραχωρῶ σοι τοῦ βήματος.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-Οἱ θεοὶ νίκην ἡμῖν διδόασιν.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-Oὐδεὶς ἠμφεσβήτησε τῆς κληρονομίας ἐκείνῳ.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-Γλῶσσαν τὴν Ἀττικὴν ἐδίδασκον τοὺς παῖδας.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931CA4">
        <w:rPr>
          <w:rFonts w:ascii="Calibri" w:eastAsia="Times New Roman" w:hAnsi="Calibri" w:cs="Arial"/>
          <w:color w:val="000000"/>
          <w:sz w:val="16"/>
          <w:szCs w:val="16"/>
          <w:lang w:eastAsia="el-GR"/>
        </w:rPr>
        <w:t xml:space="preserve">- </w:t>
      </w:r>
      <w:r w:rsidRPr="00931CA4">
        <w:rPr>
          <w:rFonts w:ascii="Calibri" w:eastAsia="Times New Roman" w:hAnsi="Calibri" w:cs="Arial"/>
          <w:color w:val="000000"/>
          <w:sz w:val="24"/>
          <w:szCs w:val="24"/>
          <w:lang w:eastAsia="el-GR"/>
        </w:rPr>
        <w:t>Λακεδαιμονίων κατηγόρουν, ὄτι τὴν Καδμείαν κατέλαβον.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-Ὁ πάππος τὸν Κῦρον στολὴν καλὴν ἐνέδυσε.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Οἱ τριάκοντα ἡμᾶς πόλεως ἀπεστέρουν.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Ὁ φιλότιμος τῆς ὑπεροχῆς ὀρέγεται.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Ὑμεῖς δέ μου ἀκούσεσθε πᾶσαν τὴν ἀλήθειαν.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-Ὁ δὲ Λυκοῦργος πλείστους πόνους αὐτοῖς ἐπέβαλε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-. Ἀλέξανδρος προέταξε τῶν πεζῶν τοὺς τοξότας.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Ἀγγέλλει τοῖς στρατιώταις τὰ ἐκ τῶν Ἀθηνῶν.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Σεύθης ὑμᾶς ἀποστερεῖ τόν μισθόν.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-Ἡμεῖς ἳππους καὶ κύνας τρέφομεν.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Κῦρος ἀπέπεμπε τοὺς δασμοὺς βασιλεῖ.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-Οἱ πατέρες ἡμῶν Μήδων ἐκράτησαν (= νίκησαν). 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-Οἱ στρατηγοί ἐδίδοσαν (= έδιναν) τοῖς στρατιώταις καί τοῖς δούλοις μισθόν καί σῖτον.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Πολλά ἀγαθά οἱ θεοί παρέχουσιν τοῖς άνθρώποις.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Βλάπτει τόν ἄνδρα θυμός.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hyperlink r:id="rId5" w:tgtFrame="_blank" w:tooltip="Κῦρος ἀπέκρυπτεν τούς στρατιώτας τήν&#10;ἑαυτοῦ λύπην.&#10;Παρέδοσα..." w:history="1">
        <w:r w:rsidRPr="00931CA4">
          <w:rPr>
            <w:rFonts w:ascii="Calibri" w:eastAsia="Times New Roman" w:hAnsi="Calibri" w:cs="Arial"/>
            <w:color w:val="888888"/>
            <w:lang w:val="en-US" w:eastAsia="el-GR"/>
          </w:rPr>
          <w:t> </w:t>
        </w:r>
      </w:hyperlink>
      <w:r w:rsidRPr="00931CA4">
        <w:rPr>
          <w:rFonts w:ascii="Calibri" w:eastAsia="Times New Roman" w:hAnsi="Calibri" w:cs="Arial"/>
          <w:color w:val="000000"/>
          <w:lang w:eastAsia="el-GR"/>
        </w:rPr>
        <w:t>Κῦρος ἀπέκρυπτεν τούς στρατιώτας τήν ἑαυτοῦ λύπην.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Παρέδοσαν τοῖς Θηβαίοις τούς νεκρούς ὑποσπόνδους (= κατόπιν συμφωνίας).</w:t>
      </w: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931CA4" w:rsidRDefault="00931CA4" w:rsidP="00931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  <w:r w:rsidRPr="00931CA4">
        <w:rPr>
          <w:rFonts w:ascii="Calibri" w:eastAsia="Times New Roman" w:hAnsi="Calibri" w:cs="Arial"/>
          <w:color w:val="000000"/>
          <w:lang w:eastAsia="el-GR"/>
        </w:rPr>
        <w:t>- Ἐμοί ὁ μέν γάρ πατήρ κατέλιπεν (= κληροδότησε) οὐδέν.</w:t>
      </w:r>
    </w:p>
    <w:p w:rsidR="00931CA4" w:rsidRDefault="00931CA4" w:rsidP="00931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el-GR"/>
        </w:rPr>
      </w:pPr>
    </w:p>
    <w:p w:rsidR="00931CA4" w:rsidRPr="00931CA4" w:rsidRDefault="00931CA4" w:rsidP="00931C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el-GR"/>
        </w:rPr>
      </w:pPr>
    </w:p>
    <w:p w:rsidR="00797A0C" w:rsidRDefault="00931CA4">
      <w:hyperlink r:id="rId6" w:history="1">
        <w:r>
          <w:rPr>
            <w:rStyle w:val="-"/>
          </w:rPr>
          <w:t>http://filologosab.blogspot.com/2019/03/blog-</w:t>
        </w:r>
        <w:r>
          <w:rPr>
            <w:rStyle w:val="-"/>
          </w:rPr>
          <w:t>post_31.html</w:t>
        </w:r>
      </w:hyperlink>
      <w:hyperlink r:id="rId7" w:history="1">
        <w:r w:rsidR="00797A0C">
          <w:rPr>
            <w:rStyle w:val="-"/>
          </w:rPr>
          <w:t>http://thucyphonclub.pbworks.com/w/file/fetch/112156207/%CE%A3%CE%A5%CE%9D%CE%A4%CE%91%CE%9A%CE%A4%CE%99%CE%9A%CE%9F%20%CE%A3%CE%95%20%CE%9A%CE%A9%CE%9C%CE%99%CE%9A%CE%9F%CE%93</w:t>
        </w:r>
      </w:hyperlink>
    </w:p>
    <w:sectPr w:rsidR="00797A0C" w:rsidSect="0093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31CA4"/>
    <w:rsid w:val="0009019E"/>
    <w:rsid w:val="004742FB"/>
    <w:rsid w:val="00797A0C"/>
    <w:rsid w:val="00931CA4"/>
    <w:rsid w:val="00A90B7F"/>
    <w:rsid w:val="00CD3761"/>
    <w:rsid w:val="00F1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61"/>
  </w:style>
  <w:style w:type="paragraph" w:styleId="3">
    <w:name w:val="heading 3"/>
    <w:basedOn w:val="a"/>
    <w:link w:val="3Char"/>
    <w:uiPriority w:val="9"/>
    <w:qFormat/>
    <w:rsid w:val="00931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31CA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931CA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1CA4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797A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hucyphonclub.pbworks.com/w/file/fetch/112156207/%CE%A3%CE%A5%CE%9D%CE%A4%CE%91%CE%9A%CE%A4%CE%99%CE%9A%CE%9F%20%CE%A3%CE%95%20%CE%9A%CE%A9%CE%9C%CE%99%CE%9A%CE%9F%CE%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ologosab.blogspot.com/2019/03/blog-post_31.html" TargetMode="External"/><Relationship Id="rId5" Type="http://schemas.openxmlformats.org/officeDocument/2006/relationships/hyperlink" Target="https://image.slidesharecdn.com/8-150314121049-conversion-gate01/95/8-19-638.jpg?cb=1444768795" TargetMode="External"/><Relationship Id="rId4" Type="http://schemas.openxmlformats.org/officeDocument/2006/relationships/hyperlink" Target="http://users.sch.gr/ipap/Ellinikos%20Politismos/Yliko/Theoria%20arxaia/antikeimeno01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2020-04-08T19:23:00Z</dcterms:created>
  <dcterms:modified xsi:type="dcterms:W3CDTF">2020-04-08T19:46:00Z</dcterms:modified>
</cp:coreProperties>
</file>