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53" w:rsidRPr="00ED061A" w:rsidRDefault="009D6653" w:rsidP="009D6653">
      <w:pPr>
        <w:pStyle w:val="BodyText3"/>
        <w:rPr>
          <w:rFonts w:ascii="Book Antiqua" w:hAnsi="Book Antiqua"/>
          <w:sz w:val="28"/>
          <w:szCs w:val="28"/>
        </w:rPr>
      </w:pPr>
      <w:r w:rsidRPr="00ED061A">
        <w:rPr>
          <w:rFonts w:ascii="Book Antiqua" w:hAnsi="Book Antiqua"/>
          <w:sz w:val="28"/>
          <w:szCs w:val="28"/>
        </w:rPr>
        <w:t xml:space="preserve">Αποτύπωση της </w:t>
      </w:r>
      <w:r w:rsidR="00F04552">
        <w:rPr>
          <w:rFonts w:ascii="Book Antiqua" w:hAnsi="Book Antiqua"/>
          <w:sz w:val="28"/>
          <w:szCs w:val="28"/>
        </w:rPr>
        <w:t>εξοικείωσης των νέων</w:t>
      </w:r>
      <w:r w:rsidRPr="00ED061A">
        <w:rPr>
          <w:rFonts w:ascii="Book Antiqua" w:hAnsi="Book Antiqua"/>
          <w:sz w:val="28"/>
          <w:szCs w:val="28"/>
        </w:rPr>
        <w:t xml:space="preserve"> με τα </w:t>
      </w:r>
      <w:proofErr w:type="spellStart"/>
      <w:r w:rsidRPr="00ED061A">
        <w:rPr>
          <w:rFonts w:ascii="Book Antiqua" w:hAnsi="Book Antiqua"/>
          <w:sz w:val="28"/>
          <w:szCs w:val="28"/>
          <w:lang w:val="en-US"/>
        </w:rPr>
        <w:t>eSports</w:t>
      </w:r>
      <w:proofErr w:type="spellEnd"/>
    </w:p>
    <w:p w:rsidR="007E45F6" w:rsidRDefault="007E45F6" w:rsidP="007E45F6">
      <w:pPr>
        <w:spacing w:line="288" w:lineRule="auto"/>
        <w:jc w:val="right"/>
        <w:rPr>
          <w:b/>
          <w:i/>
          <w:lang w:val="el-GR"/>
        </w:rPr>
      </w:pPr>
    </w:p>
    <w:p w:rsidR="009D6653" w:rsidRPr="007E45F6" w:rsidRDefault="007E45F6" w:rsidP="007E45F6">
      <w:pPr>
        <w:spacing w:line="288" w:lineRule="auto"/>
        <w:jc w:val="right"/>
        <w:rPr>
          <w:b/>
          <w:i/>
          <w:lang w:val="el-GR"/>
        </w:rPr>
      </w:pPr>
      <w:r w:rsidRPr="007E45F6">
        <w:rPr>
          <w:b/>
          <w:i/>
          <w:lang w:val="el-GR"/>
        </w:rPr>
        <w:t>Καρατζόγλου Φοίβη – Πολυξένη</w:t>
      </w:r>
    </w:p>
    <w:p w:rsidR="007E45F6" w:rsidRPr="007E45F6" w:rsidRDefault="007E45F6" w:rsidP="007E45F6">
      <w:pPr>
        <w:spacing w:line="288" w:lineRule="auto"/>
        <w:jc w:val="right"/>
        <w:rPr>
          <w:b/>
          <w:i/>
          <w:lang w:val="el-GR"/>
        </w:rPr>
      </w:pPr>
      <w:r w:rsidRPr="007E45F6">
        <w:rPr>
          <w:b/>
          <w:i/>
          <w:lang w:val="el-GR"/>
        </w:rPr>
        <w:t>Λάζος Στέφανος</w:t>
      </w:r>
    </w:p>
    <w:p w:rsidR="007E45F6" w:rsidRPr="007E45F6" w:rsidRDefault="007E45F6" w:rsidP="007E45F6">
      <w:pPr>
        <w:spacing w:line="288" w:lineRule="auto"/>
        <w:jc w:val="right"/>
        <w:rPr>
          <w:b/>
          <w:i/>
          <w:lang w:val="el-GR"/>
        </w:rPr>
      </w:pPr>
      <w:r w:rsidRPr="007E45F6">
        <w:rPr>
          <w:b/>
          <w:i/>
          <w:lang w:val="el-GR"/>
        </w:rPr>
        <w:t>Λέτσιος Βασίλειος</w:t>
      </w:r>
    </w:p>
    <w:p w:rsidR="007E45F6" w:rsidRDefault="007E45F6" w:rsidP="009D6653">
      <w:pPr>
        <w:spacing w:before="120" w:line="288" w:lineRule="auto"/>
        <w:jc w:val="both"/>
        <w:rPr>
          <w:b/>
          <w:lang w:val="el-GR"/>
        </w:rPr>
      </w:pPr>
    </w:p>
    <w:p w:rsidR="007E45F6" w:rsidRDefault="007E45F6" w:rsidP="009D6653">
      <w:pPr>
        <w:spacing w:before="120" w:line="288" w:lineRule="auto"/>
        <w:jc w:val="both"/>
        <w:rPr>
          <w:b/>
          <w:lang w:val="el-GR"/>
        </w:rPr>
      </w:pPr>
    </w:p>
    <w:p w:rsidR="009D6653" w:rsidRDefault="009D6653" w:rsidP="009D6653">
      <w:pPr>
        <w:spacing w:before="120" w:line="288" w:lineRule="auto"/>
        <w:jc w:val="both"/>
        <w:rPr>
          <w:b/>
          <w:lang w:val="el-GR"/>
        </w:rPr>
      </w:pPr>
      <w:r>
        <w:rPr>
          <w:b/>
          <w:lang w:val="el-GR"/>
        </w:rPr>
        <w:t xml:space="preserve">1. </w:t>
      </w:r>
      <w:r>
        <w:rPr>
          <w:b/>
          <w:lang w:val="el-GR"/>
        </w:rPr>
        <w:tab/>
        <w:t>Μεθοδολογική Προσέγγιση</w:t>
      </w:r>
    </w:p>
    <w:p w:rsidR="009D6653" w:rsidRDefault="009D6653" w:rsidP="009D6653">
      <w:pPr>
        <w:pStyle w:val="BodyTextIndent2"/>
      </w:pPr>
      <w:r>
        <w:t xml:space="preserve">Η προσέγγιση που επελέγη, για την αποτύπωση </w:t>
      </w:r>
      <w:r w:rsidR="00F04552">
        <w:t>της εξοικείωσης των νέων</w:t>
      </w:r>
      <w:r w:rsidR="00C418B8">
        <w:t>-εφήβων</w:t>
      </w:r>
      <w:r w:rsidR="00F04552">
        <w:t xml:space="preserve"> με τα </w:t>
      </w:r>
      <w:proofErr w:type="spellStart"/>
      <w:r w:rsidR="00F04552">
        <w:rPr>
          <w:lang w:val="en-US"/>
        </w:rPr>
        <w:t>eSports</w:t>
      </w:r>
      <w:proofErr w:type="spellEnd"/>
      <w:r w:rsidR="00F04552">
        <w:t>,</w:t>
      </w:r>
      <w:r>
        <w:t xml:space="preserve"> ήταν αυτή του μικρο-επιπέδου (δειγματοληπτική έρευνα) και η συγκέντρωση πρωτογενών στοιχείων αφορούσε </w:t>
      </w:r>
      <w:r w:rsidR="00F04552">
        <w:t>μαθητές της Β’ τάξης Γενικού Λυκείου.</w:t>
      </w:r>
    </w:p>
    <w:p w:rsidR="00F04552" w:rsidRDefault="00F04552" w:rsidP="009D6653">
      <w:pPr>
        <w:pStyle w:val="BodyTextIndent2"/>
        <w:rPr>
          <w:rFonts w:cs="Bembo"/>
          <w:sz w:val="20"/>
          <w:szCs w:val="20"/>
        </w:rPr>
      </w:pPr>
    </w:p>
    <w:p w:rsidR="009D6653" w:rsidRDefault="009D6653" w:rsidP="009D6653">
      <w:pPr>
        <w:spacing w:before="120" w:line="288" w:lineRule="auto"/>
        <w:jc w:val="both"/>
        <w:rPr>
          <w:b/>
          <w:lang w:val="el-GR"/>
        </w:rPr>
      </w:pPr>
      <w:r>
        <w:rPr>
          <w:b/>
          <w:lang w:val="el-GR"/>
        </w:rPr>
        <w:t xml:space="preserve">2. </w:t>
      </w:r>
      <w:r>
        <w:rPr>
          <w:b/>
          <w:lang w:val="el-GR"/>
        </w:rPr>
        <w:tab/>
        <w:t>Χαρακτηριστικά στοιχεία δειγματοληπτικής έρευνας</w:t>
      </w:r>
    </w:p>
    <w:p w:rsidR="009D6653" w:rsidRDefault="009D6653" w:rsidP="009D6653">
      <w:pPr>
        <w:spacing w:before="120" w:line="288" w:lineRule="auto"/>
        <w:jc w:val="both"/>
        <w:rPr>
          <w:lang w:val="el-GR"/>
        </w:rPr>
      </w:pPr>
      <w:r>
        <w:rPr>
          <w:b/>
          <w:lang w:val="el-GR"/>
        </w:rPr>
        <w:t>2.1</w:t>
      </w:r>
      <w:r>
        <w:rPr>
          <w:b/>
          <w:lang w:val="el-GR"/>
        </w:rPr>
        <w:tab/>
        <w:t>Γενικά στοιχεία έρευνας</w:t>
      </w:r>
    </w:p>
    <w:p w:rsidR="009D6653" w:rsidRDefault="009D6653" w:rsidP="009D6653">
      <w:pPr>
        <w:spacing w:before="120" w:line="288" w:lineRule="auto"/>
        <w:ind w:firstLine="720"/>
        <w:jc w:val="both"/>
        <w:rPr>
          <w:lang w:val="el-GR"/>
        </w:rPr>
      </w:pPr>
      <w:r>
        <w:rPr>
          <w:lang w:val="el-GR"/>
        </w:rPr>
        <w:t>Ο σχεδιασμός της έρευν</w:t>
      </w:r>
      <w:r w:rsidR="00F04552">
        <w:rPr>
          <w:lang w:val="el-GR"/>
        </w:rPr>
        <w:t xml:space="preserve">ας σκοπό είχε να καταγράψει την </w:t>
      </w:r>
      <w:r w:rsidR="00C418B8">
        <w:rPr>
          <w:lang w:val="el-GR"/>
        </w:rPr>
        <w:t xml:space="preserve">ενασχόληση των νέων με τα </w:t>
      </w:r>
      <w:proofErr w:type="spellStart"/>
      <w:r w:rsidR="00C418B8">
        <w:rPr>
          <w:lang w:val="en-US"/>
        </w:rPr>
        <w:t>eSports</w:t>
      </w:r>
      <w:proofErr w:type="spellEnd"/>
      <w:r w:rsidR="0061745C" w:rsidRPr="0061745C">
        <w:rPr>
          <w:lang w:val="el-GR"/>
        </w:rPr>
        <w:t xml:space="preserve"> </w:t>
      </w:r>
      <w:r w:rsidR="0061745C">
        <w:rPr>
          <w:lang w:val="el-GR"/>
        </w:rPr>
        <w:t xml:space="preserve">και τη γνώση τους σε ζητήματα που αφορούν σε αυτό το είδος ηλεκτρονικών παιχνιδιών. </w:t>
      </w:r>
      <w:r>
        <w:rPr>
          <w:lang w:val="el-GR"/>
        </w:rPr>
        <w:t>Για να επιτευχθεί ο στόχος αυτός, δημι</w:t>
      </w:r>
      <w:r w:rsidR="00055431">
        <w:rPr>
          <w:lang w:val="el-GR"/>
        </w:rPr>
        <w:t>ουργήθηκε  ένα «σώμα» ερωτήσεων – ερωτηματολόγιο, σχεδιασμένο να αποτυπώσει-</w:t>
      </w:r>
      <w:r>
        <w:rPr>
          <w:lang w:val="el-GR"/>
        </w:rPr>
        <w:t>καταγρ</w:t>
      </w:r>
      <w:r w:rsidR="00055431">
        <w:rPr>
          <w:lang w:val="el-GR"/>
        </w:rPr>
        <w:t xml:space="preserve">άψει </w:t>
      </w:r>
      <w:r>
        <w:rPr>
          <w:lang w:val="el-GR"/>
        </w:rPr>
        <w:t xml:space="preserve">σε μία κοινή βάση </w:t>
      </w:r>
      <w:r w:rsidR="00055431">
        <w:rPr>
          <w:lang w:val="el-GR"/>
        </w:rPr>
        <w:t xml:space="preserve">και σε ενιαία κλίμακα, αναφορικά με τις ποιοτικές αξιολογήσεις, την ενασχόληση και την αντίληψη των ερωτώμενων για τα </w:t>
      </w:r>
      <w:proofErr w:type="spellStart"/>
      <w:r w:rsidR="00055431">
        <w:rPr>
          <w:lang w:val="en-US"/>
        </w:rPr>
        <w:t>eSports</w:t>
      </w:r>
      <w:proofErr w:type="spellEnd"/>
      <w:r w:rsidR="00055431" w:rsidRPr="00055431">
        <w:rPr>
          <w:lang w:val="el-GR"/>
        </w:rPr>
        <w:t>.</w:t>
      </w:r>
      <w:r>
        <w:rPr>
          <w:lang w:val="el-GR"/>
        </w:rPr>
        <w:t xml:space="preserve">  </w:t>
      </w:r>
    </w:p>
    <w:p w:rsidR="00EB1BA2" w:rsidRDefault="009D6653" w:rsidP="009D6653">
      <w:pPr>
        <w:spacing w:before="120" w:line="288" w:lineRule="auto"/>
        <w:ind w:firstLine="720"/>
        <w:jc w:val="both"/>
        <w:rPr>
          <w:lang w:val="el-GR"/>
        </w:rPr>
      </w:pPr>
      <w:r>
        <w:rPr>
          <w:lang w:val="el-GR"/>
        </w:rPr>
        <w:t xml:space="preserve">Η διεξαγωγή της δειγματοληπτικής έρευνας αφορούσε </w:t>
      </w:r>
      <w:r w:rsidR="00055431">
        <w:rPr>
          <w:lang w:val="el-GR"/>
        </w:rPr>
        <w:t>στους μαθητές της Β’ τάξης του Γενικού Λυκείου της Ζωσιμαίας Σχολής Ιωαννίνων</w:t>
      </w:r>
      <w:r w:rsidR="00EB1BA2">
        <w:rPr>
          <w:lang w:val="el-GR"/>
        </w:rPr>
        <w:t xml:space="preserve">, </w:t>
      </w:r>
      <w:r w:rsidR="000971DD">
        <w:rPr>
          <w:lang w:val="el-GR"/>
        </w:rPr>
        <w:t>δηλαδή</w:t>
      </w:r>
      <w:r w:rsidR="00EB1BA2">
        <w:rPr>
          <w:lang w:val="el-GR"/>
        </w:rPr>
        <w:t xml:space="preserve"> σε εφήβους 16 ετών, γεννημένους το 2001. Οι ερευνητές αποτελούνταν από ομάδα μαθητών της ίδιας τάξης με τους ερωτώμενους, οπότε η επικοινωνία μεταξύ των δύο πλευρών της έρευνας ήταν η καλύτερη δυνατή. Η έρευνα αυτή </w:t>
      </w:r>
      <w:r w:rsidR="001A0402">
        <w:rPr>
          <w:lang w:val="el-GR"/>
        </w:rPr>
        <w:t>είναι</w:t>
      </w:r>
      <w:r w:rsidR="00EB1BA2">
        <w:rPr>
          <w:lang w:val="el-GR"/>
        </w:rPr>
        <w:t xml:space="preserve"> αμερόληπτη ως προς τα κοινωνικοοικονομικ</w:t>
      </w:r>
      <w:r w:rsidR="001A0402">
        <w:rPr>
          <w:lang w:val="el-GR"/>
        </w:rPr>
        <w:t>ά</w:t>
      </w:r>
      <w:r w:rsidR="00EB1BA2">
        <w:rPr>
          <w:lang w:val="el-GR"/>
        </w:rPr>
        <w:t xml:space="preserve"> </w:t>
      </w:r>
      <w:r w:rsidR="001A0402">
        <w:rPr>
          <w:lang w:val="el-GR"/>
        </w:rPr>
        <w:t>χαρακτηριστικά τ</w:t>
      </w:r>
      <w:r w:rsidR="00EB1BA2">
        <w:rPr>
          <w:lang w:val="el-GR"/>
        </w:rPr>
        <w:t>ων ερωτώμενων, αφού το δείγμα</w:t>
      </w:r>
      <w:r w:rsidR="001A0402">
        <w:rPr>
          <w:lang w:val="el-GR"/>
        </w:rPr>
        <w:t xml:space="preserve"> θεωρείται τυχαίο</w:t>
      </w:r>
      <w:r w:rsidR="001A0402">
        <w:rPr>
          <w:lang w:val="el-GR"/>
        </w:rPr>
        <w:sym w:font="Wingdings 2" w:char="F096"/>
      </w:r>
      <w:r w:rsidR="001A0402">
        <w:rPr>
          <w:lang w:val="el-GR"/>
        </w:rPr>
        <w:t xml:space="preserve"> οι ερωτώμενοι είναι μαθητές δημόσιου Γενικού Λυκείου.</w:t>
      </w:r>
      <w:r w:rsidR="00EB1BA2">
        <w:rPr>
          <w:lang w:val="el-GR"/>
        </w:rPr>
        <w:t xml:space="preserve"> </w:t>
      </w:r>
    </w:p>
    <w:p w:rsidR="009D6653" w:rsidRDefault="009D6653" w:rsidP="009D6653">
      <w:pPr>
        <w:spacing w:before="120" w:line="288" w:lineRule="auto"/>
        <w:jc w:val="both"/>
        <w:rPr>
          <w:lang w:val="el-GR"/>
        </w:rPr>
      </w:pPr>
    </w:p>
    <w:p w:rsidR="009D6653" w:rsidRDefault="009D6653" w:rsidP="009D6653">
      <w:pPr>
        <w:pStyle w:val="Heading3"/>
      </w:pPr>
      <w:r>
        <w:t>2.2</w:t>
      </w:r>
      <w:r>
        <w:tab/>
        <w:t>Σχεδιασμός ερωτηματολογίου</w:t>
      </w:r>
    </w:p>
    <w:p w:rsidR="009D6653" w:rsidRDefault="009D6653" w:rsidP="00371E99">
      <w:pPr>
        <w:spacing w:before="120" w:line="288" w:lineRule="auto"/>
        <w:jc w:val="both"/>
        <w:rPr>
          <w:lang w:val="el-GR"/>
        </w:rPr>
      </w:pPr>
      <w:r>
        <w:rPr>
          <w:lang w:val="el-GR"/>
        </w:rPr>
        <w:tab/>
        <w:t>Όπως προαναφέρθηκε, το μέσο συλλογής των στατιστικών στοιχείων που χρησιμοποιήθηκε κατά τη διεξαγωγή της έρευνας, ήταν ερωτηματολόγιο κλειστού τύπου, ενώ κύρια μέθοδος συλλογής, η προσωπική συνέντευξη.</w:t>
      </w:r>
    </w:p>
    <w:p w:rsidR="009D6653" w:rsidRDefault="009D6653" w:rsidP="00371E99">
      <w:pPr>
        <w:pStyle w:val="BodyText"/>
      </w:pPr>
      <w:r>
        <w:tab/>
        <w:t xml:space="preserve">Ο σχεδιασμός του ερωτηματολογίου βασίστηκε σε </w:t>
      </w:r>
      <w:r w:rsidR="001A0402">
        <w:t xml:space="preserve">τρεις </w:t>
      </w:r>
      <w:r>
        <w:t>(</w:t>
      </w:r>
      <w:r w:rsidR="001A0402">
        <w:t>3</w:t>
      </w:r>
      <w:r>
        <w:t>) κεντρικούς άξονες αναζήτησης πληροφοριών (ενότητες ανάλυσης) και συνοπτικά περιγράφονται, όπως ακολουθεί:</w:t>
      </w:r>
    </w:p>
    <w:p w:rsidR="009D6653" w:rsidRDefault="009D6653" w:rsidP="001815DB">
      <w:pPr>
        <w:pStyle w:val="BodyText"/>
        <w:keepNext/>
      </w:pPr>
      <w:r>
        <w:rPr>
          <w:sz w:val="22"/>
          <w:u w:val="single"/>
        </w:rPr>
        <w:t>1</w:t>
      </w:r>
      <w:r>
        <w:rPr>
          <w:sz w:val="22"/>
          <w:u w:val="single"/>
          <w:vertAlign w:val="superscript"/>
        </w:rPr>
        <w:t>ος</w:t>
      </w:r>
      <w:r>
        <w:rPr>
          <w:sz w:val="22"/>
          <w:u w:val="single"/>
        </w:rPr>
        <w:t xml:space="preserve"> ΑΞΟΝΑΣ</w:t>
      </w:r>
      <w:r>
        <w:t xml:space="preserve">: </w:t>
      </w:r>
      <w:r>
        <w:rPr>
          <w:i/>
          <w:iCs/>
        </w:rPr>
        <w:t>Γενικές Πληροφορίες</w:t>
      </w:r>
    </w:p>
    <w:p w:rsidR="009D6653" w:rsidRDefault="009D6653" w:rsidP="009D6653">
      <w:pPr>
        <w:pStyle w:val="BodyText"/>
      </w:pPr>
      <w:r>
        <w:t xml:space="preserve">Σκιαγραφείται το προφίλ του ερωτώμενου. </w:t>
      </w:r>
      <w:r w:rsidR="001A0402">
        <w:t xml:space="preserve">Στη συγκεκριμένη έρευνα η μόνη παράμετρος-μεταβλητή που </w:t>
      </w:r>
      <w:r w:rsidR="00371E99">
        <w:t>επιλέχθηκε να αναδειχτεί για την εξαγωγή συμπερασμάτων ήταν αυτό του φύλου των μαθητών.</w:t>
      </w:r>
    </w:p>
    <w:p w:rsidR="009D6653" w:rsidRDefault="009D6653" w:rsidP="009D6653">
      <w:pPr>
        <w:pStyle w:val="BodyText"/>
      </w:pPr>
      <w:r>
        <w:lastRenderedPageBreak/>
        <w:t xml:space="preserve"> </w:t>
      </w:r>
      <w:r>
        <w:rPr>
          <w:sz w:val="22"/>
          <w:u w:val="single"/>
        </w:rPr>
        <w:t>2</w:t>
      </w:r>
      <w:r>
        <w:rPr>
          <w:sz w:val="22"/>
          <w:u w:val="single"/>
          <w:vertAlign w:val="superscript"/>
        </w:rPr>
        <w:t>ος</w:t>
      </w:r>
      <w:r>
        <w:rPr>
          <w:sz w:val="22"/>
          <w:u w:val="single"/>
        </w:rPr>
        <w:t xml:space="preserve"> ΑΞΟΝΑΣ</w:t>
      </w:r>
      <w:r>
        <w:t xml:space="preserve">: </w:t>
      </w:r>
      <w:r w:rsidR="00371E99">
        <w:rPr>
          <w:i/>
          <w:iCs/>
        </w:rPr>
        <w:t>Χρήση Διαδικτύου</w:t>
      </w:r>
    </w:p>
    <w:p w:rsidR="009D6653" w:rsidRDefault="00371E99" w:rsidP="009D6653">
      <w:pPr>
        <w:spacing w:before="120" w:line="288" w:lineRule="auto"/>
        <w:jc w:val="both"/>
        <w:rPr>
          <w:lang w:val="el-GR"/>
        </w:rPr>
      </w:pPr>
      <w:r>
        <w:rPr>
          <w:lang w:val="el-GR"/>
        </w:rPr>
        <w:t xml:space="preserve">Αποτυπώνεται η χρήση γενικότερα του διαδικτύου και τίθεται άμεσα σε συγκριτική αξιολόγηση ο χρόνος διάθεσης σε ηλεκτρονικά παιχνίδια. </w:t>
      </w:r>
      <w:r w:rsidR="009D6653">
        <w:rPr>
          <w:lang w:val="el-GR"/>
        </w:rPr>
        <w:t xml:space="preserve"> </w:t>
      </w:r>
    </w:p>
    <w:p w:rsidR="009D6653" w:rsidRDefault="009D6653" w:rsidP="009D6653">
      <w:pPr>
        <w:spacing w:before="120" w:line="288" w:lineRule="auto"/>
        <w:jc w:val="both"/>
        <w:rPr>
          <w:lang w:val="el-GR"/>
        </w:rPr>
      </w:pPr>
      <w:r>
        <w:rPr>
          <w:sz w:val="22"/>
          <w:u w:val="single"/>
          <w:lang w:val="el-GR"/>
        </w:rPr>
        <w:t>3</w:t>
      </w:r>
      <w:r>
        <w:rPr>
          <w:sz w:val="22"/>
          <w:u w:val="single"/>
          <w:vertAlign w:val="superscript"/>
          <w:lang w:val="el-GR"/>
        </w:rPr>
        <w:t>ος</w:t>
      </w:r>
      <w:r>
        <w:rPr>
          <w:sz w:val="22"/>
          <w:u w:val="single"/>
          <w:lang w:val="el-GR"/>
        </w:rPr>
        <w:t xml:space="preserve"> ΑΞΟΝΑΣ</w:t>
      </w:r>
      <w:r>
        <w:rPr>
          <w:lang w:val="el-GR"/>
        </w:rPr>
        <w:t>:</w:t>
      </w:r>
      <w:r w:rsidRPr="00EC3E6C">
        <w:rPr>
          <w:i/>
          <w:lang w:val="el-GR"/>
        </w:rPr>
        <w:t xml:space="preserve"> </w:t>
      </w:r>
      <w:proofErr w:type="spellStart"/>
      <w:r w:rsidR="00EC3E6C" w:rsidRPr="00EC3E6C">
        <w:rPr>
          <w:i/>
          <w:lang w:val="en-US"/>
        </w:rPr>
        <w:t>eSports</w:t>
      </w:r>
      <w:proofErr w:type="spellEnd"/>
      <w:r w:rsidR="00EC3E6C">
        <w:rPr>
          <w:i/>
          <w:lang w:val="el-GR"/>
        </w:rPr>
        <w:t>: Ενασχόληση-Εξοικείωση</w:t>
      </w:r>
    </w:p>
    <w:p w:rsidR="009D6653" w:rsidRDefault="00EC3E6C" w:rsidP="009D6653">
      <w:pPr>
        <w:spacing w:before="120" w:line="288" w:lineRule="auto"/>
        <w:jc w:val="both"/>
        <w:rPr>
          <w:lang w:val="el-GR"/>
        </w:rPr>
      </w:pPr>
      <w:r>
        <w:rPr>
          <w:lang w:val="el-GR"/>
        </w:rPr>
        <w:t>Ε</w:t>
      </w:r>
      <w:r w:rsidR="009D6653">
        <w:rPr>
          <w:lang w:val="el-GR"/>
        </w:rPr>
        <w:t xml:space="preserve">πιχειρείται να αποτυπωθεί </w:t>
      </w:r>
      <w:r>
        <w:rPr>
          <w:lang w:val="el-GR"/>
        </w:rPr>
        <w:t xml:space="preserve">ο βαθμός εξοικείωσης των ερωτώμενων με αυτού του είδους ανταγωνιστικών βιντεοπαιχνιδιών. Η καταγραφή της αντίληψης των ερωτώμενων </w:t>
      </w:r>
      <w:r w:rsidR="000971DD">
        <w:rPr>
          <w:lang w:val="el-GR"/>
        </w:rPr>
        <w:t>σχετικά με αυτά είναι σημαντική</w:t>
      </w:r>
      <w:r w:rsidR="009D6653">
        <w:rPr>
          <w:lang w:val="el-GR"/>
        </w:rPr>
        <w:t>,</w:t>
      </w:r>
      <w:r>
        <w:rPr>
          <w:lang w:val="el-GR"/>
        </w:rPr>
        <w:t xml:space="preserve"> </w:t>
      </w:r>
      <w:r w:rsidR="000971DD">
        <w:rPr>
          <w:lang w:val="el-GR"/>
        </w:rPr>
        <w:t>όπως επίσης και</w:t>
      </w:r>
      <w:r>
        <w:rPr>
          <w:lang w:val="el-GR"/>
        </w:rPr>
        <w:t xml:space="preserve"> το αν ενδιαφέρονται να ενημερωθούν περισσότερο. </w:t>
      </w:r>
      <w:r w:rsidR="009D6653">
        <w:rPr>
          <w:lang w:val="el-GR"/>
        </w:rPr>
        <w:t xml:space="preserve">  </w:t>
      </w:r>
    </w:p>
    <w:p w:rsidR="009D6653" w:rsidRDefault="009D6653" w:rsidP="009D6653">
      <w:pPr>
        <w:spacing w:before="120" w:line="288" w:lineRule="auto"/>
        <w:jc w:val="both"/>
        <w:rPr>
          <w:lang w:val="el-GR"/>
        </w:rPr>
      </w:pPr>
    </w:p>
    <w:p w:rsidR="009D6653" w:rsidRDefault="009D6653" w:rsidP="009D6653">
      <w:pPr>
        <w:pStyle w:val="Heading3"/>
      </w:pPr>
      <w:r>
        <w:t>2.3</w:t>
      </w:r>
      <w:r>
        <w:tab/>
        <w:t xml:space="preserve">Επεξεργασία στοιχείων </w:t>
      </w:r>
    </w:p>
    <w:p w:rsidR="009D6653" w:rsidRDefault="009D6653" w:rsidP="009D6653">
      <w:pPr>
        <w:spacing w:before="120" w:line="288" w:lineRule="auto"/>
        <w:jc w:val="both"/>
        <w:rPr>
          <w:lang w:val="el-GR"/>
        </w:rPr>
      </w:pPr>
      <w:r>
        <w:rPr>
          <w:lang w:val="el-GR"/>
        </w:rPr>
        <w:tab/>
      </w:r>
      <w:r w:rsidR="007B7212">
        <w:rPr>
          <w:lang w:val="el-GR"/>
        </w:rPr>
        <w:t>Η</w:t>
      </w:r>
      <w:r>
        <w:rPr>
          <w:lang w:val="el-GR"/>
        </w:rPr>
        <w:t xml:space="preserve"> επεξεργασία των στοιχείων </w:t>
      </w:r>
      <w:r w:rsidR="007B7212">
        <w:rPr>
          <w:lang w:val="el-GR"/>
        </w:rPr>
        <w:t xml:space="preserve">έγινε σε περιβάλλον </w:t>
      </w:r>
      <w:r w:rsidR="007B7212">
        <w:rPr>
          <w:lang w:val="en-US"/>
        </w:rPr>
        <w:t>MS</w:t>
      </w:r>
      <w:r w:rsidR="007B7212" w:rsidRPr="007B7212">
        <w:rPr>
          <w:lang w:val="el-GR"/>
        </w:rPr>
        <w:t xml:space="preserve"> </w:t>
      </w:r>
      <w:r w:rsidR="007B7212">
        <w:rPr>
          <w:lang w:val="en-US"/>
        </w:rPr>
        <w:t>Office</w:t>
      </w:r>
      <w:r w:rsidR="007B7212" w:rsidRPr="007B7212">
        <w:rPr>
          <w:lang w:val="el-GR"/>
        </w:rPr>
        <w:t xml:space="preserve"> </w:t>
      </w:r>
      <w:r w:rsidR="007B7212">
        <w:rPr>
          <w:lang w:val="el-GR"/>
        </w:rPr>
        <w:t xml:space="preserve">του προγράμματος </w:t>
      </w:r>
      <w:r w:rsidR="007B7212">
        <w:rPr>
          <w:lang w:val="de-AT"/>
        </w:rPr>
        <w:t>EXCEL</w:t>
      </w:r>
      <w:r w:rsidR="007B7212" w:rsidRPr="007B7212">
        <w:rPr>
          <w:lang w:val="el-GR"/>
        </w:rPr>
        <w:t xml:space="preserve">. </w:t>
      </w:r>
      <w:r w:rsidR="007B7212">
        <w:rPr>
          <w:lang w:val="el-GR"/>
        </w:rPr>
        <w:t xml:space="preserve">Σε υπολογιστικό φύλλο της εφαρμογής αυτής καταχωρήθηκαν σε κοινή </w:t>
      </w:r>
      <w:r w:rsidR="000971DD">
        <w:rPr>
          <w:lang w:val="el-GR"/>
        </w:rPr>
        <w:t>βάση τα στοιχεία της δειγματολη</w:t>
      </w:r>
      <w:r w:rsidR="007B7212">
        <w:rPr>
          <w:lang w:val="el-GR"/>
        </w:rPr>
        <w:t>π</w:t>
      </w:r>
      <w:r w:rsidR="000971DD">
        <w:rPr>
          <w:lang w:val="el-GR"/>
        </w:rPr>
        <w:t>τ</w:t>
      </w:r>
      <w:r w:rsidR="007B7212">
        <w:rPr>
          <w:lang w:val="el-GR"/>
        </w:rPr>
        <w:t>ικής έρευνας. Η ανάλυσή τους επίσης διενεργήθηκε με την παραπάνω εφαρμογή.</w:t>
      </w:r>
      <w:r>
        <w:rPr>
          <w:lang w:val="el-GR"/>
        </w:rPr>
        <w:t xml:space="preserve"> </w:t>
      </w:r>
    </w:p>
    <w:p w:rsidR="009D6653" w:rsidRDefault="009D6653" w:rsidP="009D6653">
      <w:pPr>
        <w:spacing w:before="120" w:line="288" w:lineRule="auto"/>
        <w:ind w:firstLine="720"/>
        <w:jc w:val="both"/>
        <w:rPr>
          <w:lang w:val="el-GR"/>
        </w:rPr>
      </w:pPr>
    </w:p>
    <w:p w:rsidR="009D6653" w:rsidRDefault="009D6653" w:rsidP="009D6653">
      <w:pPr>
        <w:numPr>
          <w:ilvl w:val="1"/>
          <w:numId w:val="2"/>
        </w:numPr>
        <w:spacing w:before="120" w:line="288" w:lineRule="auto"/>
        <w:jc w:val="both"/>
        <w:rPr>
          <w:b/>
          <w:lang w:val="el-GR"/>
        </w:rPr>
      </w:pPr>
      <w:r>
        <w:rPr>
          <w:b/>
          <w:lang w:val="el-GR"/>
        </w:rPr>
        <w:t>Αποτελέσματα έρευνας</w:t>
      </w:r>
    </w:p>
    <w:p w:rsidR="009D6653" w:rsidRDefault="009D6653" w:rsidP="009D6653">
      <w:pPr>
        <w:spacing w:before="120" w:line="288" w:lineRule="auto"/>
        <w:ind w:firstLine="720"/>
        <w:jc w:val="both"/>
        <w:rPr>
          <w:bCs/>
          <w:lang w:val="el-GR"/>
        </w:rPr>
      </w:pPr>
      <w:r>
        <w:rPr>
          <w:bCs/>
          <w:lang w:val="el-GR"/>
        </w:rPr>
        <w:t>Η παρουσίαση των αποτελεσμάτων γίνεται σε αντιστοιχία με τους άξονες/ ενότητες που καλύπτουν τα προς επεξεργασία στοιχεία και προαναφέρθηκαν στην υποενότητα 2.2.</w:t>
      </w:r>
    </w:p>
    <w:p w:rsidR="00BF0679" w:rsidRDefault="00BF0679" w:rsidP="009D6653">
      <w:pPr>
        <w:spacing w:before="120" w:line="288" w:lineRule="auto"/>
        <w:ind w:firstLine="720"/>
        <w:jc w:val="both"/>
        <w:rPr>
          <w:bCs/>
          <w:lang w:val="el-GR"/>
        </w:rPr>
      </w:pPr>
    </w:p>
    <w:p w:rsidR="009D6653" w:rsidRDefault="009D6653" w:rsidP="009D6653">
      <w:pPr>
        <w:numPr>
          <w:ilvl w:val="2"/>
          <w:numId w:val="2"/>
        </w:numPr>
        <w:spacing w:before="120" w:line="288" w:lineRule="auto"/>
        <w:jc w:val="both"/>
        <w:rPr>
          <w:bCs/>
          <w:sz w:val="22"/>
          <w:lang w:val="el-GR"/>
        </w:rPr>
      </w:pPr>
      <w:r>
        <w:rPr>
          <w:bCs/>
          <w:sz w:val="22"/>
          <w:lang w:val="el-GR"/>
        </w:rPr>
        <w:t>ΓΕΝΙΚΕΣ ΠΛΗΡΟΦΟΡΙΕΣ – ΧΑΡΑΚΤΗΡΙΣΤΙΚΑ ΔΕΙΓΜΑΤΟΣ</w:t>
      </w:r>
    </w:p>
    <w:p w:rsidR="00B61FF9" w:rsidRDefault="009D6653" w:rsidP="00310EBA">
      <w:pPr>
        <w:spacing w:before="120" w:line="288" w:lineRule="auto"/>
        <w:ind w:firstLine="720"/>
        <w:jc w:val="both"/>
        <w:rPr>
          <w:bCs/>
          <w:lang w:val="de-AT"/>
        </w:rPr>
      </w:pPr>
      <w:r>
        <w:rPr>
          <w:bCs/>
          <w:lang w:val="el-GR"/>
        </w:rPr>
        <w:t xml:space="preserve">Ο αριθμός των </w:t>
      </w:r>
      <w:r w:rsidR="00310EBA">
        <w:rPr>
          <w:bCs/>
          <w:lang w:val="el-GR"/>
        </w:rPr>
        <w:t xml:space="preserve">μαθητών </w:t>
      </w:r>
      <w:r>
        <w:rPr>
          <w:bCs/>
          <w:lang w:val="el-GR"/>
        </w:rPr>
        <w:t xml:space="preserve">που αποτέλεσαν το δείγμα της έρευνας, ανέρχεται σε </w:t>
      </w:r>
      <w:r w:rsidR="00310EBA">
        <w:rPr>
          <w:bCs/>
          <w:lang w:val="el-GR"/>
        </w:rPr>
        <w:t>8</w:t>
      </w:r>
      <w:r>
        <w:rPr>
          <w:bCs/>
          <w:lang w:val="el-GR"/>
        </w:rPr>
        <w:t>9. Ο αριθμός αυτός κρίνεται επαρκής</w:t>
      </w:r>
      <w:r w:rsidR="00310EBA">
        <w:rPr>
          <w:bCs/>
          <w:lang w:val="el-GR"/>
        </w:rPr>
        <w:t xml:space="preserve">. </w:t>
      </w:r>
    </w:p>
    <w:p w:rsidR="00310EBA" w:rsidRPr="00B61FF9" w:rsidRDefault="00310EBA" w:rsidP="00310EBA">
      <w:pPr>
        <w:spacing w:before="120" w:line="288" w:lineRule="auto"/>
        <w:ind w:firstLine="720"/>
        <w:jc w:val="both"/>
        <w:rPr>
          <w:bCs/>
          <w:lang w:val="el-GR"/>
        </w:rPr>
      </w:pPr>
      <w:r>
        <w:rPr>
          <w:bCs/>
          <w:lang w:val="el-GR"/>
        </w:rPr>
        <w:t>Η ταξινόμηση του δείγματος που θεωρήθηκε ουσιαστική, αφορούσε στο φύλο των ερωτώμενων.</w:t>
      </w:r>
      <w:r w:rsidR="00B61FF9" w:rsidRPr="00B61FF9">
        <w:rPr>
          <w:bCs/>
          <w:lang w:val="el-GR"/>
        </w:rPr>
        <w:t xml:space="preserve"> </w:t>
      </w:r>
      <w:r w:rsidR="00B61FF9">
        <w:rPr>
          <w:bCs/>
          <w:lang w:val="el-GR"/>
        </w:rPr>
        <w:t>Από το σύνολο των ερωτώμενων τα 52,81% ήταν κορίτσια και το υπόλοιπο 47,19% αγόρια</w:t>
      </w:r>
      <w:r w:rsidR="008426EC">
        <w:rPr>
          <w:bCs/>
          <w:lang w:val="el-GR"/>
        </w:rPr>
        <w:t xml:space="preserve"> </w:t>
      </w:r>
      <w:r w:rsidR="00B61FF9">
        <w:rPr>
          <w:bCs/>
          <w:lang w:val="el-GR"/>
        </w:rPr>
        <w:t xml:space="preserve">(βλ. πίνακα και διάγραμμα 1). Ο επιμερισμός αυτός προσδίδει αμεροληψία στα αποτελέσματα ως προς το φύλο των μαθητών. </w:t>
      </w:r>
      <w:r w:rsidR="00B61FF9" w:rsidRPr="00B61FF9">
        <w:rPr>
          <w:bCs/>
          <w:lang w:val="el-GR"/>
        </w:rPr>
        <w:t xml:space="preserve"> </w:t>
      </w:r>
    </w:p>
    <w:p w:rsidR="001815DB" w:rsidRDefault="001815DB" w:rsidP="009D6653">
      <w:pPr>
        <w:spacing w:before="120" w:line="288" w:lineRule="auto"/>
        <w:ind w:firstLine="720"/>
        <w:jc w:val="both"/>
        <w:rPr>
          <w:bCs/>
          <w:lang w:val="el-GR"/>
        </w:rPr>
      </w:pPr>
    </w:p>
    <w:p w:rsidR="009D6653" w:rsidRDefault="001815DB" w:rsidP="009D6653">
      <w:pPr>
        <w:spacing w:before="120" w:after="120" w:line="288" w:lineRule="auto"/>
        <w:jc w:val="both"/>
        <w:rPr>
          <w:lang w:val="el-GR"/>
        </w:rPr>
      </w:pPr>
      <w:r>
        <w:rPr>
          <w:b/>
          <w:noProof/>
          <w:lang w:val="el-GR" w:eastAsia="el-GR"/>
        </w:rPr>
        <w:drawing>
          <wp:anchor distT="0" distB="0" distL="114300" distR="114300" simplePos="0" relativeHeight="251658240" behindDoc="0" locked="0" layoutInCell="1" allowOverlap="1">
            <wp:simplePos x="0" y="0"/>
            <wp:positionH relativeFrom="column">
              <wp:posOffset>2347595</wp:posOffset>
            </wp:positionH>
            <wp:positionV relativeFrom="paragraph">
              <wp:posOffset>538480</wp:posOffset>
            </wp:positionV>
            <wp:extent cx="3009900" cy="1590675"/>
            <wp:effectExtent l="0" t="0" r="0" b="0"/>
            <wp:wrapNone/>
            <wp:docPr id="6"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9D6653">
        <w:rPr>
          <w:b/>
          <w:lang w:val="el-GR"/>
        </w:rPr>
        <w:t>Πίνακας</w:t>
      </w:r>
      <w:r w:rsidR="008426EC">
        <w:rPr>
          <w:b/>
          <w:lang w:val="el-GR"/>
        </w:rPr>
        <w:t xml:space="preserve"> </w:t>
      </w:r>
      <w:r w:rsidR="00926F1C" w:rsidRPr="00926F1C">
        <w:rPr>
          <w:b/>
          <w:lang w:val="el-GR"/>
        </w:rPr>
        <w:t xml:space="preserve">1 </w:t>
      </w:r>
      <w:r w:rsidR="008426EC">
        <w:rPr>
          <w:b/>
          <w:lang w:val="el-GR"/>
        </w:rPr>
        <w:t>&amp; Διάγραμμα</w:t>
      </w:r>
      <w:r w:rsidR="009D6653">
        <w:rPr>
          <w:b/>
          <w:lang w:val="el-GR"/>
        </w:rPr>
        <w:t xml:space="preserve"> 1</w:t>
      </w:r>
      <w:r w:rsidR="009D6653">
        <w:rPr>
          <w:lang w:val="el-GR"/>
        </w:rPr>
        <w:t xml:space="preserve">: Αριθμός </w:t>
      </w:r>
      <w:r w:rsidR="00310EBA">
        <w:rPr>
          <w:lang w:val="el-GR"/>
        </w:rPr>
        <w:t xml:space="preserve">μαθητών </w:t>
      </w:r>
      <w:r w:rsidR="009D6653">
        <w:rPr>
          <w:lang w:val="el-GR"/>
        </w:rPr>
        <w:t>που αποτέλεσαν το δείγμα της έρευνας, σύμφωνα με την ταξινόμησ</w:t>
      </w:r>
      <w:r w:rsidR="00310EBA">
        <w:rPr>
          <w:lang w:val="el-GR"/>
        </w:rPr>
        <w:t xml:space="preserve">ή τους </w:t>
      </w:r>
      <w:r w:rsidR="009D6653">
        <w:rPr>
          <w:lang w:val="el-GR"/>
        </w:rPr>
        <w:t xml:space="preserve">ανά </w:t>
      </w:r>
      <w:r w:rsidR="00310EBA">
        <w:rPr>
          <w:lang w:val="el-GR"/>
        </w:rPr>
        <w:t>φύλο</w:t>
      </w:r>
      <w:r w:rsidR="009D6653">
        <w:rPr>
          <w:lang w:val="el-GR"/>
        </w:rPr>
        <w:t>.</w:t>
      </w:r>
    </w:p>
    <w:tbl>
      <w:tblPr>
        <w:tblW w:w="4832" w:type="dxa"/>
        <w:tblLayout w:type="fixed"/>
        <w:tblCellMar>
          <w:left w:w="0" w:type="dxa"/>
          <w:right w:w="0" w:type="dxa"/>
        </w:tblCellMar>
        <w:tblLook w:val="0000"/>
      </w:tblPr>
      <w:tblGrid>
        <w:gridCol w:w="1440"/>
        <w:gridCol w:w="702"/>
        <w:gridCol w:w="1275"/>
        <w:gridCol w:w="439"/>
        <w:gridCol w:w="976"/>
      </w:tblGrid>
      <w:tr w:rsidR="00310EBA" w:rsidRPr="00B61FF9" w:rsidTr="00B61FF9">
        <w:trPr>
          <w:gridAfter w:val="2"/>
          <w:wAfter w:w="1415" w:type="dxa"/>
          <w:cantSplit/>
          <w:trHeight w:val="340"/>
        </w:trPr>
        <w:tc>
          <w:tcPr>
            <w:tcW w:w="1440" w:type="dxa"/>
            <w:vMerge w:val="restart"/>
            <w:tcBorders>
              <w:top w:val="single" w:sz="12" w:space="0" w:color="auto"/>
              <w:left w:val="single" w:sz="12" w:space="0" w:color="auto"/>
              <w:right w:val="single" w:sz="12" w:space="0" w:color="auto"/>
            </w:tcBorders>
            <w:shd w:val="clear" w:color="auto" w:fill="FFFFD1"/>
            <w:noWrap/>
            <w:vAlign w:val="bottom"/>
          </w:tcPr>
          <w:p w:rsidR="00310EBA" w:rsidRDefault="00310EBA" w:rsidP="008426EC">
            <w:pPr>
              <w:pStyle w:val="Heading1"/>
              <w:ind w:right="113"/>
            </w:pPr>
            <w:r>
              <w:t>Φύλλο</w:t>
            </w:r>
          </w:p>
        </w:tc>
        <w:tc>
          <w:tcPr>
            <w:tcW w:w="1977" w:type="dxa"/>
            <w:gridSpan w:val="2"/>
            <w:tcBorders>
              <w:top w:val="single" w:sz="12" w:space="0" w:color="auto"/>
              <w:left w:val="single" w:sz="12" w:space="0" w:color="auto"/>
              <w:bottom w:val="single" w:sz="6" w:space="0" w:color="auto"/>
              <w:right w:val="single" w:sz="12" w:space="0" w:color="auto"/>
            </w:tcBorders>
            <w:shd w:val="clear" w:color="auto" w:fill="FFFFD1"/>
            <w:noWrap/>
            <w:vAlign w:val="bottom"/>
          </w:tcPr>
          <w:p w:rsidR="00310EBA" w:rsidRDefault="00310EBA" w:rsidP="008426EC">
            <w:pPr>
              <w:ind w:right="113"/>
              <w:jc w:val="center"/>
              <w:rPr>
                <w:rFonts w:ascii="Arial" w:hAnsi="Arial" w:cs="Arial"/>
                <w:b/>
                <w:bCs/>
                <w:sz w:val="20"/>
                <w:szCs w:val="20"/>
                <w:lang w:val="el-GR"/>
              </w:rPr>
            </w:pPr>
            <w:r>
              <w:rPr>
                <w:rFonts w:ascii="Arial" w:hAnsi="Arial" w:cs="Arial"/>
                <w:b/>
                <w:bCs/>
                <w:sz w:val="20"/>
                <w:szCs w:val="20"/>
                <w:lang w:val="el-GR"/>
              </w:rPr>
              <w:t>Μαθητές</w:t>
            </w:r>
          </w:p>
        </w:tc>
      </w:tr>
      <w:tr w:rsidR="00310EBA" w:rsidTr="00B61FF9">
        <w:trPr>
          <w:gridAfter w:val="2"/>
          <w:wAfter w:w="1415" w:type="dxa"/>
          <w:cantSplit/>
          <w:trHeight w:val="255"/>
        </w:trPr>
        <w:tc>
          <w:tcPr>
            <w:tcW w:w="1440" w:type="dxa"/>
            <w:vMerge/>
            <w:tcBorders>
              <w:left w:val="single" w:sz="12" w:space="0" w:color="auto"/>
              <w:bottom w:val="single" w:sz="12" w:space="0" w:color="auto"/>
              <w:right w:val="single" w:sz="12" w:space="0" w:color="auto"/>
            </w:tcBorders>
            <w:shd w:val="clear" w:color="auto" w:fill="FFFFD1"/>
            <w:noWrap/>
            <w:vAlign w:val="bottom"/>
          </w:tcPr>
          <w:p w:rsidR="00310EBA" w:rsidRDefault="00310EBA" w:rsidP="008426EC">
            <w:pPr>
              <w:ind w:right="113"/>
              <w:rPr>
                <w:rFonts w:ascii="Arial" w:eastAsia="Arial Unicode MS" w:hAnsi="Arial" w:cs="Arial"/>
                <w:sz w:val="20"/>
                <w:szCs w:val="20"/>
                <w:lang w:val="el-GR"/>
              </w:rPr>
            </w:pPr>
          </w:p>
        </w:tc>
        <w:tc>
          <w:tcPr>
            <w:tcW w:w="702" w:type="dxa"/>
            <w:tcBorders>
              <w:top w:val="single" w:sz="6" w:space="0" w:color="auto"/>
              <w:left w:val="single" w:sz="12" w:space="0" w:color="auto"/>
              <w:bottom w:val="single" w:sz="12" w:space="0" w:color="auto"/>
              <w:right w:val="single" w:sz="6" w:space="0" w:color="auto"/>
            </w:tcBorders>
            <w:shd w:val="clear" w:color="auto" w:fill="FFFFD1"/>
            <w:noWrap/>
            <w:vAlign w:val="bottom"/>
          </w:tcPr>
          <w:p w:rsidR="00310EBA" w:rsidRDefault="00310EBA" w:rsidP="008426EC">
            <w:pPr>
              <w:ind w:right="113"/>
              <w:jc w:val="right"/>
              <w:rPr>
                <w:rFonts w:ascii="Arial" w:eastAsia="Arial Unicode MS" w:hAnsi="Arial" w:cs="Arial"/>
                <w:sz w:val="18"/>
                <w:szCs w:val="20"/>
                <w:lang w:val="el-GR"/>
              </w:rPr>
            </w:pPr>
            <w:r>
              <w:rPr>
                <w:rFonts w:ascii="Arial" w:eastAsia="Arial Unicode MS" w:hAnsi="Arial" w:cs="Arial"/>
                <w:sz w:val="18"/>
                <w:szCs w:val="20"/>
                <w:lang w:val="el-GR"/>
              </w:rPr>
              <w:t>Αρ.</w:t>
            </w:r>
          </w:p>
        </w:tc>
        <w:tc>
          <w:tcPr>
            <w:tcW w:w="1275" w:type="dxa"/>
            <w:tcBorders>
              <w:top w:val="single" w:sz="6" w:space="0" w:color="auto"/>
              <w:left w:val="single" w:sz="6" w:space="0" w:color="auto"/>
              <w:bottom w:val="single" w:sz="12" w:space="0" w:color="auto"/>
              <w:right w:val="single" w:sz="12" w:space="0" w:color="auto"/>
            </w:tcBorders>
            <w:shd w:val="clear" w:color="auto" w:fill="FFFFD1"/>
            <w:vAlign w:val="bottom"/>
          </w:tcPr>
          <w:p w:rsidR="00310EBA" w:rsidRDefault="00310EBA" w:rsidP="008426EC">
            <w:pPr>
              <w:pStyle w:val="Heading2"/>
              <w:ind w:right="113"/>
              <w:jc w:val="right"/>
              <w:rPr>
                <w:i w:val="0"/>
                <w:iCs w:val="0"/>
                <w:sz w:val="18"/>
              </w:rPr>
            </w:pPr>
            <w:r>
              <w:rPr>
                <w:i w:val="0"/>
                <w:iCs w:val="0"/>
                <w:sz w:val="18"/>
              </w:rPr>
              <w:t>Ποσοστό</w:t>
            </w:r>
          </w:p>
        </w:tc>
      </w:tr>
      <w:tr w:rsidR="00864501" w:rsidTr="00B61FF9">
        <w:trPr>
          <w:trHeight w:val="510"/>
        </w:trPr>
        <w:tc>
          <w:tcPr>
            <w:tcW w:w="1440" w:type="dxa"/>
            <w:tcBorders>
              <w:top w:val="single" w:sz="12" w:space="0" w:color="auto"/>
              <w:left w:val="single" w:sz="12" w:space="0" w:color="auto"/>
              <w:bottom w:val="single" w:sz="6" w:space="0" w:color="auto"/>
              <w:right w:val="single" w:sz="12" w:space="0" w:color="auto"/>
            </w:tcBorders>
            <w:noWrap/>
            <w:vAlign w:val="bottom"/>
          </w:tcPr>
          <w:p w:rsidR="00864501" w:rsidRDefault="00864501" w:rsidP="008426EC">
            <w:pPr>
              <w:ind w:right="113"/>
              <w:jc w:val="right"/>
              <w:rPr>
                <w:rFonts w:ascii="Arial" w:eastAsia="Arial Unicode MS" w:hAnsi="Arial" w:cs="Arial"/>
                <w:sz w:val="20"/>
                <w:szCs w:val="20"/>
                <w:lang w:val="el-GR"/>
              </w:rPr>
            </w:pPr>
            <w:r>
              <w:rPr>
                <w:rFonts w:ascii="Arial" w:eastAsia="Arial Unicode MS" w:hAnsi="Arial" w:cs="Arial"/>
                <w:sz w:val="20"/>
                <w:szCs w:val="20"/>
                <w:lang w:val="el-GR"/>
              </w:rPr>
              <w:t>Κορίτσια</w:t>
            </w:r>
          </w:p>
        </w:tc>
        <w:tc>
          <w:tcPr>
            <w:tcW w:w="702" w:type="dxa"/>
            <w:tcBorders>
              <w:top w:val="single" w:sz="12" w:space="0" w:color="auto"/>
              <w:left w:val="single" w:sz="12" w:space="0" w:color="auto"/>
              <w:bottom w:val="single" w:sz="6" w:space="0" w:color="auto"/>
              <w:right w:val="single" w:sz="6" w:space="0" w:color="auto"/>
            </w:tcBorders>
            <w:noWrap/>
            <w:vAlign w:val="bottom"/>
          </w:tcPr>
          <w:p w:rsidR="00864501" w:rsidRDefault="00864501" w:rsidP="008426EC">
            <w:pPr>
              <w:ind w:right="113"/>
              <w:jc w:val="right"/>
              <w:rPr>
                <w:rFonts w:ascii="Arial" w:eastAsia="Arial Unicode MS" w:hAnsi="Arial" w:cs="Arial"/>
                <w:sz w:val="20"/>
                <w:szCs w:val="20"/>
                <w:lang w:val="el-GR"/>
              </w:rPr>
            </w:pPr>
            <w:r>
              <w:rPr>
                <w:rFonts w:ascii="Arial" w:hAnsi="Arial" w:cs="Arial"/>
                <w:sz w:val="20"/>
                <w:szCs w:val="20"/>
                <w:lang w:val="el-GR"/>
              </w:rPr>
              <w:t>47</w:t>
            </w:r>
          </w:p>
        </w:tc>
        <w:tc>
          <w:tcPr>
            <w:tcW w:w="1275" w:type="dxa"/>
            <w:tcBorders>
              <w:top w:val="single" w:sz="12" w:space="0" w:color="auto"/>
              <w:left w:val="single" w:sz="6" w:space="0" w:color="auto"/>
              <w:bottom w:val="single" w:sz="6" w:space="0" w:color="auto"/>
              <w:right w:val="single" w:sz="12" w:space="0" w:color="auto"/>
            </w:tcBorders>
            <w:vAlign w:val="bottom"/>
          </w:tcPr>
          <w:p w:rsidR="00864501" w:rsidRDefault="00864501" w:rsidP="008426EC">
            <w:pPr>
              <w:ind w:right="113"/>
              <w:jc w:val="right"/>
              <w:rPr>
                <w:rFonts w:ascii="Arial" w:hAnsi="Arial" w:cs="Arial"/>
                <w:i/>
                <w:iCs/>
                <w:sz w:val="20"/>
                <w:szCs w:val="20"/>
                <w:lang w:val="el-GR"/>
              </w:rPr>
            </w:pPr>
            <w:r>
              <w:rPr>
                <w:rFonts w:ascii="Arial" w:hAnsi="Arial" w:cs="Arial"/>
                <w:i/>
                <w:iCs/>
                <w:sz w:val="20"/>
                <w:szCs w:val="20"/>
                <w:lang w:val="el-GR"/>
              </w:rPr>
              <w:t>52,81%</w:t>
            </w:r>
          </w:p>
        </w:tc>
        <w:tc>
          <w:tcPr>
            <w:tcW w:w="439" w:type="dxa"/>
            <w:vAlign w:val="bottom"/>
          </w:tcPr>
          <w:p w:rsidR="00864501" w:rsidRDefault="00864501">
            <w:pPr>
              <w:jc w:val="right"/>
              <w:rPr>
                <w:rFonts w:ascii="Calibri" w:hAnsi="Calibri" w:cs="Calibri"/>
                <w:color w:val="000000"/>
              </w:rPr>
            </w:pPr>
          </w:p>
        </w:tc>
        <w:tc>
          <w:tcPr>
            <w:tcW w:w="976" w:type="dxa"/>
            <w:vAlign w:val="bottom"/>
          </w:tcPr>
          <w:p w:rsidR="00864501" w:rsidRDefault="00864501">
            <w:pPr>
              <w:jc w:val="right"/>
              <w:rPr>
                <w:rFonts w:ascii="Calibri" w:hAnsi="Calibri" w:cs="Calibri"/>
                <w:color w:val="000000"/>
              </w:rPr>
            </w:pPr>
          </w:p>
        </w:tc>
      </w:tr>
      <w:tr w:rsidR="00864501" w:rsidTr="00B61FF9">
        <w:trPr>
          <w:trHeight w:val="255"/>
        </w:trPr>
        <w:tc>
          <w:tcPr>
            <w:tcW w:w="1440" w:type="dxa"/>
            <w:tcBorders>
              <w:top w:val="single" w:sz="6" w:space="0" w:color="auto"/>
              <w:left w:val="single" w:sz="12" w:space="0" w:color="auto"/>
              <w:bottom w:val="single" w:sz="6" w:space="0" w:color="auto"/>
              <w:right w:val="single" w:sz="12" w:space="0" w:color="auto"/>
            </w:tcBorders>
            <w:noWrap/>
            <w:vAlign w:val="bottom"/>
          </w:tcPr>
          <w:p w:rsidR="00864501" w:rsidRDefault="00864501" w:rsidP="008426EC">
            <w:pPr>
              <w:ind w:right="113"/>
              <w:jc w:val="right"/>
              <w:rPr>
                <w:rFonts w:ascii="Arial" w:eastAsia="Arial Unicode MS" w:hAnsi="Arial" w:cs="Arial"/>
                <w:sz w:val="20"/>
                <w:szCs w:val="20"/>
                <w:lang w:val="el-GR"/>
              </w:rPr>
            </w:pPr>
            <w:r>
              <w:rPr>
                <w:rFonts w:ascii="Arial" w:hAnsi="Arial" w:cs="Arial"/>
                <w:sz w:val="20"/>
                <w:szCs w:val="20"/>
                <w:lang w:val="el-GR"/>
              </w:rPr>
              <w:t>Αγόρια</w:t>
            </w:r>
          </w:p>
        </w:tc>
        <w:tc>
          <w:tcPr>
            <w:tcW w:w="702" w:type="dxa"/>
            <w:tcBorders>
              <w:top w:val="single" w:sz="6" w:space="0" w:color="auto"/>
              <w:left w:val="single" w:sz="12" w:space="0" w:color="auto"/>
              <w:bottom w:val="single" w:sz="6" w:space="0" w:color="auto"/>
              <w:right w:val="single" w:sz="6" w:space="0" w:color="auto"/>
            </w:tcBorders>
            <w:noWrap/>
            <w:vAlign w:val="bottom"/>
          </w:tcPr>
          <w:p w:rsidR="00864501" w:rsidRDefault="00864501" w:rsidP="008426EC">
            <w:pPr>
              <w:ind w:right="113"/>
              <w:jc w:val="right"/>
              <w:rPr>
                <w:rFonts w:ascii="Arial" w:eastAsia="Arial Unicode MS" w:hAnsi="Arial" w:cs="Arial"/>
                <w:sz w:val="20"/>
                <w:szCs w:val="20"/>
                <w:lang w:val="el-GR"/>
              </w:rPr>
            </w:pPr>
            <w:r>
              <w:rPr>
                <w:rFonts w:ascii="Arial" w:eastAsia="Arial Unicode MS" w:hAnsi="Arial" w:cs="Arial"/>
                <w:sz w:val="20"/>
                <w:szCs w:val="20"/>
                <w:lang w:val="el-GR"/>
              </w:rPr>
              <w:t>42</w:t>
            </w:r>
          </w:p>
        </w:tc>
        <w:tc>
          <w:tcPr>
            <w:tcW w:w="1275" w:type="dxa"/>
            <w:tcBorders>
              <w:top w:val="single" w:sz="6" w:space="0" w:color="auto"/>
              <w:left w:val="single" w:sz="6" w:space="0" w:color="auto"/>
              <w:bottom w:val="single" w:sz="6" w:space="0" w:color="auto"/>
              <w:right w:val="single" w:sz="12" w:space="0" w:color="auto"/>
            </w:tcBorders>
            <w:vAlign w:val="bottom"/>
          </w:tcPr>
          <w:p w:rsidR="00864501" w:rsidRDefault="00864501" w:rsidP="008426EC">
            <w:pPr>
              <w:ind w:right="113"/>
              <w:jc w:val="right"/>
              <w:rPr>
                <w:rFonts w:ascii="Arial" w:hAnsi="Arial" w:cs="Arial"/>
                <w:i/>
                <w:iCs/>
                <w:sz w:val="20"/>
                <w:szCs w:val="20"/>
                <w:lang w:val="el-GR"/>
              </w:rPr>
            </w:pPr>
            <w:r>
              <w:rPr>
                <w:rFonts w:ascii="Arial" w:hAnsi="Arial" w:cs="Arial"/>
                <w:i/>
                <w:iCs/>
                <w:sz w:val="20"/>
                <w:szCs w:val="20"/>
                <w:lang w:val="el-GR"/>
              </w:rPr>
              <w:t>47,19%</w:t>
            </w:r>
          </w:p>
        </w:tc>
        <w:tc>
          <w:tcPr>
            <w:tcW w:w="439" w:type="dxa"/>
            <w:vAlign w:val="bottom"/>
          </w:tcPr>
          <w:p w:rsidR="00864501" w:rsidRDefault="00864501">
            <w:pPr>
              <w:jc w:val="right"/>
              <w:rPr>
                <w:rFonts w:ascii="Calibri" w:hAnsi="Calibri" w:cs="Calibri"/>
                <w:color w:val="000000"/>
              </w:rPr>
            </w:pPr>
          </w:p>
        </w:tc>
        <w:tc>
          <w:tcPr>
            <w:tcW w:w="976" w:type="dxa"/>
            <w:vAlign w:val="bottom"/>
          </w:tcPr>
          <w:p w:rsidR="00864501" w:rsidRDefault="00864501">
            <w:pPr>
              <w:jc w:val="right"/>
              <w:rPr>
                <w:rFonts w:ascii="Calibri" w:hAnsi="Calibri" w:cs="Calibri"/>
                <w:color w:val="000000"/>
              </w:rPr>
            </w:pPr>
          </w:p>
        </w:tc>
      </w:tr>
      <w:tr w:rsidR="00864501" w:rsidTr="00B61FF9">
        <w:trPr>
          <w:trHeight w:val="510"/>
        </w:trPr>
        <w:tc>
          <w:tcPr>
            <w:tcW w:w="1440" w:type="dxa"/>
            <w:tcBorders>
              <w:top w:val="single" w:sz="6" w:space="0" w:color="auto"/>
              <w:left w:val="single" w:sz="12" w:space="0" w:color="auto"/>
              <w:bottom w:val="single" w:sz="12" w:space="0" w:color="auto"/>
              <w:right w:val="single" w:sz="12" w:space="0" w:color="auto"/>
            </w:tcBorders>
            <w:noWrap/>
            <w:vAlign w:val="bottom"/>
          </w:tcPr>
          <w:p w:rsidR="00864501" w:rsidRDefault="00864501" w:rsidP="008426EC">
            <w:pPr>
              <w:ind w:right="113"/>
              <w:jc w:val="right"/>
              <w:rPr>
                <w:rFonts w:ascii="Arial" w:eastAsia="Arial Unicode MS" w:hAnsi="Arial" w:cs="Arial"/>
                <w:sz w:val="18"/>
                <w:szCs w:val="20"/>
                <w:lang w:val="el-GR"/>
              </w:rPr>
            </w:pPr>
            <w:r>
              <w:rPr>
                <w:rFonts w:ascii="Arial" w:hAnsi="Arial" w:cs="Arial"/>
                <w:sz w:val="18"/>
                <w:szCs w:val="20"/>
                <w:lang w:val="el-GR"/>
              </w:rPr>
              <w:t>ΣΥΝΟΛΟ</w:t>
            </w:r>
          </w:p>
        </w:tc>
        <w:tc>
          <w:tcPr>
            <w:tcW w:w="702" w:type="dxa"/>
            <w:tcBorders>
              <w:top w:val="single" w:sz="6" w:space="0" w:color="auto"/>
              <w:left w:val="single" w:sz="12" w:space="0" w:color="auto"/>
              <w:bottom w:val="single" w:sz="12" w:space="0" w:color="auto"/>
              <w:right w:val="single" w:sz="6" w:space="0" w:color="auto"/>
            </w:tcBorders>
            <w:noWrap/>
            <w:vAlign w:val="bottom"/>
          </w:tcPr>
          <w:p w:rsidR="00864501" w:rsidRDefault="00864501" w:rsidP="008426EC">
            <w:pPr>
              <w:ind w:right="113"/>
              <w:jc w:val="right"/>
              <w:rPr>
                <w:rFonts w:ascii="Arial" w:eastAsia="Arial Unicode MS" w:hAnsi="Arial" w:cs="Arial"/>
                <w:b/>
                <w:bCs/>
                <w:sz w:val="20"/>
                <w:szCs w:val="20"/>
                <w:lang w:val="el-GR"/>
              </w:rPr>
            </w:pPr>
            <w:r>
              <w:rPr>
                <w:rFonts w:ascii="Arial" w:hAnsi="Arial" w:cs="Arial"/>
                <w:b/>
                <w:bCs/>
                <w:sz w:val="20"/>
                <w:szCs w:val="20"/>
                <w:lang w:val="el-GR"/>
              </w:rPr>
              <w:t>89</w:t>
            </w:r>
          </w:p>
        </w:tc>
        <w:tc>
          <w:tcPr>
            <w:tcW w:w="1275" w:type="dxa"/>
            <w:tcBorders>
              <w:top w:val="single" w:sz="6" w:space="0" w:color="auto"/>
              <w:left w:val="single" w:sz="6" w:space="0" w:color="auto"/>
              <w:bottom w:val="single" w:sz="12" w:space="0" w:color="auto"/>
              <w:right w:val="single" w:sz="12" w:space="0" w:color="auto"/>
            </w:tcBorders>
            <w:vAlign w:val="bottom"/>
          </w:tcPr>
          <w:p w:rsidR="00864501" w:rsidRDefault="00864501" w:rsidP="008426EC">
            <w:pPr>
              <w:ind w:right="113"/>
              <w:jc w:val="right"/>
              <w:rPr>
                <w:rFonts w:ascii="Arial" w:hAnsi="Arial" w:cs="Arial"/>
                <w:b/>
                <w:bCs/>
                <w:i/>
                <w:iCs/>
                <w:sz w:val="20"/>
                <w:szCs w:val="20"/>
                <w:lang w:val="el-GR"/>
              </w:rPr>
            </w:pPr>
            <w:r>
              <w:rPr>
                <w:rFonts w:ascii="Arial" w:hAnsi="Arial" w:cs="Arial"/>
                <w:b/>
                <w:bCs/>
                <w:i/>
                <w:iCs/>
                <w:sz w:val="20"/>
                <w:szCs w:val="20"/>
                <w:lang w:val="el-GR"/>
              </w:rPr>
              <w:t>100,00%</w:t>
            </w:r>
          </w:p>
        </w:tc>
        <w:tc>
          <w:tcPr>
            <w:tcW w:w="439" w:type="dxa"/>
            <w:vAlign w:val="bottom"/>
          </w:tcPr>
          <w:p w:rsidR="00864501" w:rsidRDefault="00864501">
            <w:pPr>
              <w:jc w:val="right"/>
              <w:rPr>
                <w:rFonts w:ascii="Calibri" w:hAnsi="Calibri" w:cs="Calibri"/>
                <w:color w:val="000000"/>
              </w:rPr>
            </w:pPr>
          </w:p>
        </w:tc>
        <w:tc>
          <w:tcPr>
            <w:tcW w:w="976" w:type="dxa"/>
            <w:vAlign w:val="bottom"/>
          </w:tcPr>
          <w:p w:rsidR="00864501" w:rsidRDefault="00864501">
            <w:pPr>
              <w:rPr>
                <w:rFonts w:ascii="Calibri" w:hAnsi="Calibri" w:cs="Calibri"/>
                <w:color w:val="000000"/>
              </w:rPr>
            </w:pPr>
          </w:p>
        </w:tc>
      </w:tr>
    </w:tbl>
    <w:p w:rsidR="001815DB" w:rsidRDefault="001815DB" w:rsidP="009D6653">
      <w:pPr>
        <w:spacing w:before="120" w:line="288" w:lineRule="auto"/>
        <w:jc w:val="both"/>
        <w:rPr>
          <w:lang w:val="el-GR"/>
        </w:rPr>
      </w:pPr>
    </w:p>
    <w:p w:rsidR="00BF0679" w:rsidRDefault="00BF0679" w:rsidP="009D6653">
      <w:pPr>
        <w:spacing w:before="120" w:line="288" w:lineRule="auto"/>
        <w:jc w:val="both"/>
        <w:rPr>
          <w:lang w:val="el-GR"/>
        </w:rPr>
      </w:pPr>
    </w:p>
    <w:p w:rsidR="00F302BE" w:rsidRDefault="00F302BE" w:rsidP="00F302BE">
      <w:pPr>
        <w:numPr>
          <w:ilvl w:val="2"/>
          <w:numId w:val="2"/>
        </w:numPr>
        <w:spacing w:before="120" w:line="288" w:lineRule="auto"/>
        <w:jc w:val="both"/>
        <w:rPr>
          <w:bCs/>
          <w:sz w:val="22"/>
          <w:lang w:val="el-GR"/>
        </w:rPr>
      </w:pPr>
      <w:r>
        <w:rPr>
          <w:bCs/>
          <w:sz w:val="22"/>
          <w:lang w:val="el-GR"/>
        </w:rPr>
        <w:lastRenderedPageBreak/>
        <w:t>ΧΡΗΣΗ ΔΙΑΔΙΚΤΥΟΥ</w:t>
      </w:r>
    </w:p>
    <w:p w:rsidR="008C147A" w:rsidRDefault="00F302BE" w:rsidP="00F302BE">
      <w:pPr>
        <w:spacing w:before="120" w:line="288" w:lineRule="auto"/>
        <w:ind w:firstLine="720"/>
        <w:jc w:val="both"/>
        <w:rPr>
          <w:bCs/>
          <w:lang w:val="el-GR"/>
        </w:rPr>
      </w:pPr>
      <w:r>
        <w:rPr>
          <w:bCs/>
          <w:lang w:val="el-GR"/>
        </w:rPr>
        <w:t xml:space="preserve">Οι μαθητές </w:t>
      </w:r>
      <w:r w:rsidR="000971DD">
        <w:rPr>
          <w:bCs/>
          <w:lang w:val="el-GR"/>
        </w:rPr>
        <w:t>ε</w:t>
      </w:r>
      <w:r>
        <w:rPr>
          <w:bCs/>
          <w:lang w:val="el-GR"/>
        </w:rPr>
        <w:t>ρωτήθηκαν για το αν διαθέτουν πρόσβαση στο διαδίκτυο από το σπίτι τους, και όπως ήταν αναμενόμενο, οι θετικές απαντήσεις έφτασαν σχεδόν το σύνολο του δείγματος</w:t>
      </w:r>
      <w:r w:rsidR="007231FD">
        <w:rPr>
          <w:bCs/>
          <w:lang w:val="el-GR"/>
        </w:rPr>
        <w:t>.</w:t>
      </w:r>
      <w:r>
        <w:rPr>
          <w:bCs/>
          <w:lang w:val="el-GR"/>
        </w:rPr>
        <w:t xml:space="preserve"> </w:t>
      </w:r>
      <w:r w:rsidR="007231FD">
        <w:rPr>
          <w:bCs/>
          <w:lang w:val="el-GR"/>
        </w:rPr>
        <w:t>Π</w:t>
      </w:r>
      <w:r>
        <w:rPr>
          <w:bCs/>
          <w:lang w:val="el-GR"/>
        </w:rPr>
        <w:t xml:space="preserve">αρόλα αυτά </w:t>
      </w:r>
      <w:r w:rsidR="007231FD">
        <w:rPr>
          <w:bCs/>
          <w:lang w:val="el-GR"/>
        </w:rPr>
        <w:t>τρεις (</w:t>
      </w:r>
      <w:r>
        <w:rPr>
          <w:bCs/>
          <w:lang w:val="el-GR"/>
        </w:rPr>
        <w:t>3</w:t>
      </w:r>
      <w:r w:rsidR="007231FD">
        <w:rPr>
          <w:bCs/>
          <w:lang w:val="el-GR"/>
        </w:rPr>
        <w:t>)</w:t>
      </w:r>
      <w:r>
        <w:rPr>
          <w:bCs/>
          <w:lang w:val="el-GR"/>
        </w:rPr>
        <w:t xml:space="preserve"> εκ των 89 μαθητών, δηλαδή το </w:t>
      </w:r>
      <w:r w:rsidR="007231FD">
        <w:rPr>
          <w:bCs/>
          <w:lang w:val="el-GR"/>
        </w:rPr>
        <w:t>3,37%</w:t>
      </w:r>
      <w:r w:rsidR="00754F52">
        <w:rPr>
          <w:bCs/>
          <w:lang w:val="el-GR"/>
        </w:rPr>
        <w:t>,</w:t>
      </w:r>
      <w:r w:rsidR="007231FD">
        <w:rPr>
          <w:bCs/>
          <w:lang w:val="el-GR"/>
        </w:rPr>
        <w:t xml:space="preserve"> δεν διαθέτουν πρόσβαση στο χώρο του σπιτιού τους (βλ. πιν. </w:t>
      </w:r>
      <w:r w:rsidR="008C147A">
        <w:rPr>
          <w:bCs/>
          <w:lang w:val="el-GR"/>
        </w:rPr>
        <w:t xml:space="preserve">&amp; διάγρ. </w:t>
      </w:r>
      <w:r w:rsidR="007231FD">
        <w:rPr>
          <w:bCs/>
          <w:lang w:val="el-GR"/>
        </w:rPr>
        <w:t>2).</w:t>
      </w:r>
    </w:p>
    <w:p w:rsidR="007E45F6" w:rsidRDefault="007E45F6" w:rsidP="008C147A">
      <w:pPr>
        <w:spacing w:before="120" w:after="120" w:line="288" w:lineRule="auto"/>
        <w:jc w:val="both"/>
        <w:rPr>
          <w:b/>
          <w:lang w:val="el-GR"/>
        </w:rPr>
      </w:pPr>
    </w:p>
    <w:p w:rsidR="008C147A" w:rsidRDefault="008C147A" w:rsidP="008C147A">
      <w:pPr>
        <w:spacing w:before="120" w:after="120" w:line="288" w:lineRule="auto"/>
        <w:jc w:val="both"/>
        <w:rPr>
          <w:lang w:val="el-GR"/>
        </w:rPr>
      </w:pPr>
      <w:r>
        <w:rPr>
          <w:b/>
          <w:noProof/>
          <w:lang w:val="el-GR" w:eastAsia="el-GR"/>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518160</wp:posOffset>
            </wp:positionV>
            <wp:extent cx="2352675" cy="1400175"/>
            <wp:effectExtent l="19050" t="0" r="0" b="0"/>
            <wp:wrapNone/>
            <wp:docPr id="8"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b/>
          <w:lang w:val="el-GR"/>
        </w:rPr>
        <w:t xml:space="preserve">Πίνακας </w:t>
      </w:r>
      <w:r w:rsidR="00926F1C" w:rsidRPr="00926F1C">
        <w:rPr>
          <w:b/>
          <w:lang w:val="el-GR"/>
        </w:rPr>
        <w:t xml:space="preserve">2 </w:t>
      </w:r>
      <w:r>
        <w:rPr>
          <w:b/>
          <w:lang w:val="el-GR"/>
        </w:rPr>
        <w:t>&amp; Διάγραμμα 2</w:t>
      </w:r>
      <w:r>
        <w:rPr>
          <w:lang w:val="el-GR"/>
        </w:rPr>
        <w:t>: Μαθητές που διαθέτουν πρόσβαση στο διαδίκτυο από το σπίτι τους.</w:t>
      </w:r>
    </w:p>
    <w:tbl>
      <w:tblPr>
        <w:tblW w:w="4832" w:type="dxa"/>
        <w:tblLayout w:type="fixed"/>
        <w:tblCellMar>
          <w:left w:w="0" w:type="dxa"/>
          <w:right w:w="0" w:type="dxa"/>
        </w:tblCellMar>
        <w:tblLook w:val="0000"/>
      </w:tblPr>
      <w:tblGrid>
        <w:gridCol w:w="1440"/>
        <w:gridCol w:w="702"/>
        <w:gridCol w:w="1275"/>
        <w:gridCol w:w="439"/>
        <w:gridCol w:w="976"/>
      </w:tblGrid>
      <w:tr w:rsidR="008C147A" w:rsidRPr="00B61FF9" w:rsidTr="000E2358">
        <w:trPr>
          <w:gridAfter w:val="2"/>
          <w:wAfter w:w="1415" w:type="dxa"/>
          <w:cantSplit/>
          <w:trHeight w:val="340"/>
        </w:trPr>
        <w:tc>
          <w:tcPr>
            <w:tcW w:w="1440" w:type="dxa"/>
            <w:vMerge w:val="restart"/>
            <w:tcBorders>
              <w:top w:val="single" w:sz="12" w:space="0" w:color="auto"/>
              <w:left w:val="single" w:sz="12" w:space="0" w:color="auto"/>
              <w:right w:val="single" w:sz="12" w:space="0" w:color="auto"/>
            </w:tcBorders>
            <w:shd w:val="clear" w:color="auto" w:fill="FFFFD1"/>
            <w:noWrap/>
            <w:vAlign w:val="bottom"/>
          </w:tcPr>
          <w:p w:rsidR="008C147A" w:rsidRDefault="008C147A" w:rsidP="000E2358">
            <w:pPr>
              <w:pStyle w:val="Heading1"/>
              <w:ind w:right="113"/>
            </w:pPr>
            <w:r>
              <w:t>Διαδίκτυο στο σπίτι</w:t>
            </w:r>
          </w:p>
        </w:tc>
        <w:tc>
          <w:tcPr>
            <w:tcW w:w="1977" w:type="dxa"/>
            <w:gridSpan w:val="2"/>
            <w:tcBorders>
              <w:top w:val="single" w:sz="12" w:space="0" w:color="auto"/>
              <w:left w:val="single" w:sz="12" w:space="0" w:color="auto"/>
              <w:bottom w:val="single" w:sz="6" w:space="0" w:color="auto"/>
              <w:right w:val="single" w:sz="12" w:space="0" w:color="auto"/>
            </w:tcBorders>
            <w:shd w:val="clear" w:color="auto" w:fill="FFFFD1"/>
            <w:noWrap/>
            <w:vAlign w:val="bottom"/>
          </w:tcPr>
          <w:p w:rsidR="008C147A" w:rsidRDefault="008C147A" w:rsidP="000E2358">
            <w:pPr>
              <w:ind w:right="113"/>
              <w:jc w:val="center"/>
              <w:rPr>
                <w:rFonts w:ascii="Arial" w:hAnsi="Arial" w:cs="Arial"/>
                <w:b/>
                <w:bCs/>
                <w:sz w:val="20"/>
                <w:szCs w:val="20"/>
                <w:lang w:val="el-GR"/>
              </w:rPr>
            </w:pPr>
            <w:r>
              <w:rPr>
                <w:rFonts w:ascii="Arial" w:hAnsi="Arial" w:cs="Arial"/>
                <w:b/>
                <w:bCs/>
                <w:sz w:val="20"/>
                <w:szCs w:val="20"/>
                <w:lang w:val="el-GR"/>
              </w:rPr>
              <w:t>Μαθητές</w:t>
            </w:r>
          </w:p>
        </w:tc>
      </w:tr>
      <w:tr w:rsidR="008C147A" w:rsidTr="000E2358">
        <w:trPr>
          <w:gridAfter w:val="2"/>
          <w:wAfter w:w="1415" w:type="dxa"/>
          <w:cantSplit/>
          <w:trHeight w:val="255"/>
        </w:trPr>
        <w:tc>
          <w:tcPr>
            <w:tcW w:w="1440" w:type="dxa"/>
            <w:vMerge/>
            <w:tcBorders>
              <w:left w:val="single" w:sz="12" w:space="0" w:color="auto"/>
              <w:bottom w:val="single" w:sz="12" w:space="0" w:color="auto"/>
              <w:right w:val="single" w:sz="12" w:space="0" w:color="auto"/>
            </w:tcBorders>
            <w:shd w:val="clear" w:color="auto" w:fill="FFFFD1"/>
            <w:noWrap/>
            <w:vAlign w:val="bottom"/>
          </w:tcPr>
          <w:p w:rsidR="008C147A" w:rsidRDefault="008C147A" w:rsidP="000E2358">
            <w:pPr>
              <w:ind w:right="113"/>
              <w:rPr>
                <w:rFonts w:ascii="Arial" w:eastAsia="Arial Unicode MS" w:hAnsi="Arial" w:cs="Arial"/>
                <w:sz w:val="20"/>
                <w:szCs w:val="20"/>
                <w:lang w:val="el-GR"/>
              </w:rPr>
            </w:pPr>
          </w:p>
        </w:tc>
        <w:tc>
          <w:tcPr>
            <w:tcW w:w="702" w:type="dxa"/>
            <w:tcBorders>
              <w:top w:val="single" w:sz="6" w:space="0" w:color="auto"/>
              <w:left w:val="single" w:sz="12" w:space="0" w:color="auto"/>
              <w:bottom w:val="single" w:sz="12" w:space="0" w:color="auto"/>
              <w:right w:val="single" w:sz="6" w:space="0" w:color="auto"/>
            </w:tcBorders>
            <w:shd w:val="clear" w:color="auto" w:fill="FFFFD1"/>
            <w:noWrap/>
            <w:vAlign w:val="bottom"/>
          </w:tcPr>
          <w:p w:rsidR="008C147A" w:rsidRDefault="008C147A" w:rsidP="000E2358">
            <w:pPr>
              <w:ind w:right="113"/>
              <w:jc w:val="right"/>
              <w:rPr>
                <w:rFonts w:ascii="Arial" w:eastAsia="Arial Unicode MS" w:hAnsi="Arial" w:cs="Arial"/>
                <w:sz w:val="18"/>
                <w:szCs w:val="20"/>
                <w:lang w:val="el-GR"/>
              </w:rPr>
            </w:pPr>
            <w:r>
              <w:rPr>
                <w:rFonts w:ascii="Arial" w:eastAsia="Arial Unicode MS" w:hAnsi="Arial" w:cs="Arial"/>
                <w:sz w:val="18"/>
                <w:szCs w:val="20"/>
                <w:lang w:val="el-GR"/>
              </w:rPr>
              <w:t>Αρ.</w:t>
            </w:r>
          </w:p>
        </w:tc>
        <w:tc>
          <w:tcPr>
            <w:tcW w:w="1275" w:type="dxa"/>
            <w:tcBorders>
              <w:top w:val="single" w:sz="6" w:space="0" w:color="auto"/>
              <w:left w:val="single" w:sz="6" w:space="0" w:color="auto"/>
              <w:bottom w:val="single" w:sz="12" w:space="0" w:color="auto"/>
              <w:right w:val="single" w:sz="12" w:space="0" w:color="auto"/>
            </w:tcBorders>
            <w:shd w:val="clear" w:color="auto" w:fill="FFFFD1"/>
            <w:vAlign w:val="bottom"/>
          </w:tcPr>
          <w:p w:rsidR="008C147A" w:rsidRDefault="008C147A" w:rsidP="000E2358">
            <w:pPr>
              <w:pStyle w:val="Heading2"/>
              <w:ind w:right="113"/>
              <w:jc w:val="right"/>
              <w:rPr>
                <w:i w:val="0"/>
                <w:iCs w:val="0"/>
                <w:sz w:val="18"/>
              </w:rPr>
            </w:pPr>
            <w:r>
              <w:rPr>
                <w:i w:val="0"/>
                <w:iCs w:val="0"/>
                <w:sz w:val="18"/>
              </w:rPr>
              <w:t>Ποσοστό</w:t>
            </w:r>
          </w:p>
        </w:tc>
      </w:tr>
      <w:tr w:rsidR="008C147A" w:rsidRPr="00DD5C5A" w:rsidTr="000E2358">
        <w:trPr>
          <w:trHeight w:val="510"/>
        </w:trPr>
        <w:tc>
          <w:tcPr>
            <w:tcW w:w="1440" w:type="dxa"/>
            <w:tcBorders>
              <w:top w:val="single" w:sz="12" w:space="0" w:color="auto"/>
              <w:left w:val="single" w:sz="12" w:space="0" w:color="auto"/>
              <w:bottom w:val="single" w:sz="6" w:space="0" w:color="auto"/>
              <w:right w:val="single" w:sz="12" w:space="0" w:color="auto"/>
            </w:tcBorders>
            <w:noWrap/>
            <w:vAlign w:val="bottom"/>
          </w:tcPr>
          <w:p w:rsidR="008C147A" w:rsidRDefault="008C147A" w:rsidP="000E2358">
            <w:pPr>
              <w:ind w:right="113"/>
              <w:jc w:val="right"/>
              <w:rPr>
                <w:rFonts w:ascii="Arial" w:eastAsia="Arial Unicode MS" w:hAnsi="Arial" w:cs="Arial"/>
                <w:sz w:val="20"/>
                <w:szCs w:val="20"/>
                <w:lang w:val="el-GR"/>
              </w:rPr>
            </w:pPr>
            <w:r>
              <w:rPr>
                <w:rFonts w:ascii="Arial" w:eastAsia="Arial Unicode MS" w:hAnsi="Arial" w:cs="Arial"/>
                <w:sz w:val="20"/>
                <w:szCs w:val="20"/>
                <w:lang w:val="el-GR"/>
              </w:rPr>
              <w:t>ΝΑΙ</w:t>
            </w:r>
          </w:p>
        </w:tc>
        <w:tc>
          <w:tcPr>
            <w:tcW w:w="702" w:type="dxa"/>
            <w:tcBorders>
              <w:top w:val="single" w:sz="12" w:space="0" w:color="auto"/>
              <w:left w:val="single" w:sz="12" w:space="0" w:color="auto"/>
              <w:bottom w:val="single" w:sz="6" w:space="0" w:color="auto"/>
              <w:right w:val="single" w:sz="6" w:space="0" w:color="auto"/>
            </w:tcBorders>
            <w:noWrap/>
            <w:vAlign w:val="bottom"/>
          </w:tcPr>
          <w:p w:rsidR="008C147A" w:rsidRDefault="008C147A" w:rsidP="000E2358">
            <w:pPr>
              <w:ind w:right="113"/>
              <w:jc w:val="right"/>
              <w:rPr>
                <w:rFonts w:ascii="Arial" w:eastAsia="Arial Unicode MS" w:hAnsi="Arial" w:cs="Arial"/>
                <w:sz w:val="20"/>
                <w:szCs w:val="20"/>
                <w:lang w:val="el-GR"/>
              </w:rPr>
            </w:pPr>
            <w:r>
              <w:rPr>
                <w:rFonts w:ascii="Arial" w:eastAsia="Arial Unicode MS" w:hAnsi="Arial" w:cs="Arial"/>
                <w:sz w:val="20"/>
                <w:szCs w:val="20"/>
                <w:lang w:val="el-GR"/>
              </w:rPr>
              <w:t>86</w:t>
            </w:r>
          </w:p>
        </w:tc>
        <w:tc>
          <w:tcPr>
            <w:tcW w:w="1275" w:type="dxa"/>
            <w:tcBorders>
              <w:top w:val="single" w:sz="12" w:space="0" w:color="auto"/>
              <w:left w:val="single" w:sz="6" w:space="0" w:color="auto"/>
              <w:bottom w:val="single" w:sz="6" w:space="0" w:color="auto"/>
              <w:right w:val="single" w:sz="12" w:space="0" w:color="auto"/>
            </w:tcBorders>
            <w:vAlign w:val="bottom"/>
          </w:tcPr>
          <w:p w:rsidR="008C147A" w:rsidRDefault="008C147A" w:rsidP="000E2358">
            <w:pPr>
              <w:ind w:right="113"/>
              <w:jc w:val="right"/>
              <w:rPr>
                <w:rFonts w:ascii="Arial" w:hAnsi="Arial" w:cs="Arial"/>
                <w:i/>
                <w:iCs/>
                <w:sz w:val="20"/>
                <w:szCs w:val="20"/>
                <w:lang w:val="el-GR"/>
              </w:rPr>
            </w:pPr>
            <w:r>
              <w:rPr>
                <w:rFonts w:ascii="Arial" w:hAnsi="Arial" w:cs="Arial"/>
                <w:i/>
                <w:iCs/>
                <w:sz w:val="20"/>
                <w:szCs w:val="20"/>
                <w:lang w:val="el-GR"/>
              </w:rPr>
              <w:t>96,63%</w:t>
            </w:r>
          </w:p>
        </w:tc>
        <w:tc>
          <w:tcPr>
            <w:tcW w:w="439" w:type="dxa"/>
            <w:vAlign w:val="bottom"/>
          </w:tcPr>
          <w:p w:rsidR="008C147A" w:rsidRPr="00DD5C5A" w:rsidRDefault="008C147A" w:rsidP="000E2358">
            <w:pPr>
              <w:jc w:val="right"/>
              <w:rPr>
                <w:rFonts w:ascii="Calibri" w:hAnsi="Calibri" w:cs="Calibri"/>
                <w:color w:val="000000"/>
                <w:lang w:val="el-GR"/>
              </w:rPr>
            </w:pPr>
          </w:p>
        </w:tc>
        <w:tc>
          <w:tcPr>
            <w:tcW w:w="976" w:type="dxa"/>
            <w:vAlign w:val="bottom"/>
          </w:tcPr>
          <w:p w:rsidR="008C147A" w:rsidRPr="00DD5C5A" w:rsidRDefault="008C147A" w:rsidP="000E2358">
            <w:pPr>
              <w:jc w:val="right"/>
              <w:rPr>
                <w:rFonts w:ascii="Calibri" w:hAnsi="Calibri" w:cs="Calibri"/>
                <w:color w:val="000000"/>
                <w:lang w:val="el-GR"/>
              </w:rPr>
            </w:pPr>
          </w:p>
        </w:tc>
      </w:tr>
      <w:tr w:rsidR="008C147A" w:rsidRPr="00DD5C5A" w:rsidTr="000E2358">
        <w:trPr>
          <w:trHeight w:val="255"/>
        </w:trPr>
        <w:tc>
          <w:tcPr>
            <w:tcW w:w="1440" w:type="dxa"/>
            <w:tcBorders>
              <w:top w:val="single" w:sz="6" w:space="0" w:color="auto"/>
              <w:left w:val="single" w:sz="12" w:space="0" w:color="auto"/>
              <w:bottom w:val="single" w:sz="6" w:space="0" w:color="auto"/>
              <w:right w:val="single" w:sz="12" w:space="0" w:color="auto"/>
            </w:tcBorders>
            <w:noWrap/>
            <w:vAlign w:val="bottom"/>
          </w:tcPr>
          <w:p w:rsidR="008C147A" w:rsidRDefault="008C147A" w:rsidP="000E2358">
            <w:pPr>
              <w:ind w:right="113"/>
              <w:jc w:val="right"/>
              <w:rPr>
                <w:rFonts w:ascii="Arial" w:eastAsia="Arial Unicode MS" w:hAnsi="Arial" w:cs="Arial"/>
                <w:sz w:val="20"/>
                <w:szCs w:val="20"/>
                <w:lang w:val="el-GR"/>
              </w:rPr>
            </w:pPr>
            <w:r>
              <w:rPr>
                <w:rFonts w:ascii="Arial" w:eastAsia="Arial Unicode MS" w:hAnsi="Arial" w:cs="Arial"/>
                <w:sz w:val="20"/>
                <w:szCs w:val="20"/>
                <w:lang w:val="el-GR"/>
              </w:rPr>
              <w:t>ΟΧΙ</w:t>
            </w:r>
          </w:p>
        </w:tc>
        <w:tc>
          <w:tcPr>
            <w:tcW w:w="702" w:type="dxa"/>
            <w:tcBorders>
              <w:top w:val="single" w:sz="6" w:space="0" w:color="auto"/>
              <w:left w:val="single" w:sz="12" w:space="0" w:color="auto"/>
              <w:bottom w:val="single" w:sz="6" w:space="0" w:color="auto"/>
              <w:right w:val="single" w:sz="6" w:space="0" w:color="auto"/>
            </w:tcBorders>
            <w:noWrap/>
            <w:vAlign w:val="bottom"/>
          </w:tcPr>
          <w:p w:rsidR="008C147A" w:rsidRDefault="008C147A" w:rsidP="000E2358">
            <w:pPr>
              <w:ind w:right="113"/>
              <w:jc w:val="right"/>
              <w:rPr>
                <w:rFonts w:ascii="Arial" w:eastAsia="Arial Unicode MS" w:hAnsi="Arial" w:cs="Arial"/>
                <w:sz w:val="20"/>
                <w:szCs w:val="20"/>
                <w:lang w:val="el-GR"/>
              </w:rPr>
            </w:pPr>
            <w:r>
              <w:rPr>
                <w:rFonts w:ascii="Arial" w:eastAsia="Arial Unicode MS" w:hAnsi="Arial" w:cs="Arial"/>
                <w:sz w:val="20"/>
                <w:szCs w:val="20"/>
                <w:lang w:val="el-GR"/>
              </w:rPr>
              <w:t>3</w:t>
            </w:r>
          </w:p>
        </w:tc>
        <w:tc>
          <w:tcPr>
            <w:tcW w:w="1275" w:type="dxa"/>
            <w:tcBorders>
              <w:top w:val="single" w:sz="6" w:space="0" w:color="auto"/>
              <w:left w:val="single" w:sz="6" w:space="0" w:color="auto"/>
              <w:bottom w:val="single" w:sz="6" w:space="0" w:color="auto"/>
              <w:right w:val="single" w:sz="12" w:space="0" w:color="auto"/>
            </w:tcBorders>
            <w:vAlign w:val="bottom"/>
          </w:tcPr>
          <w:p w:rsidR="008C147A" w:rsidRDefault="008C147A" w:rsidP="000E2358">
            <w:pPr>
              <w:ind w:right="113"/>
              <w:jc w:val="right"/>
              <w:rPr>
                <w:rFonts w:ascii="Arial" w:hAnsi="Arial" w:cs="Arial"/>
                <w:i/>
                <w:iCs/>
                <w:sz w:val="20"/>
                <w:szCs w:val="20"/>
                <w:lang w:val="el-GR"/>
              </w:rPr>
            </w:pPr>
            <w:r>
              <w:rPr>
                <w:rFonts w:ascii="Arial" w:hAnsi="Arial" w:cs="Arial"/>
                <w:i/>
                <w:iCs/>
                <w:sz w:val="20"/>
                <w:szCs w:val="20"/>
                <w:lang w:val="el-GR"/>
              </w:rPr>
              <w:t>3,37%</w:t>
            </w:r>
          </w:p>
        </w:tc>
        <w:tc>
          <w:tcPr>
            <w:tcW w:w="439" w:type="dxa"/>
            <w:vAlign w:val="bottom"/>
          </w:tcPr>
          <w:p w:rsidR="008C147A" w:rsidRPr="00DD5C5A" w:rsidRDefault="008C147A" w:rsidP="000E2358">
            <w:pPr>
              <w:jc w:val="right"/>
              <w:rPr>
                <w:rFonts w:ascii="Calibri" w:hAnsi="Calibri" w:cs="Calibri"/>
                <w:color w:val="000000"/>
                <w:lang w:val="el-GR"/>
              </w:rPr>
            </w:pPr>
          </w:p>
        </w:tc>
        <w:tc>
          <w:tcPr>
            <w:tcW w:w="976" w:type="dxa"/>
            <w:vAlign w:val="bottom"/>
          </w:tcPr>
          <w:p w:rsidR="008C147A" w:rsidRPr="00DD5C5A" w:rsidRDefault="008C147A" w:rsidP="000E2358">
            <w:pPr>
              <w:jc w:val="right"/>
              <w:rPr>
                <w:rFonts w:ascii="Calibri" w:hAnsi="Calibri" w:cs="Calibri"/>
                <w:color w:val="000000"/>
                <w:lang w:val="el-GR"/>
              </w:rPr>
            </w:pPr>
          </w:p>
        </w:tc>
      </w:tr>
      <w:tr w:rsidR="008C147A" w:rsidRPr="00DD5C5A" w:rsidTr="000E2358">
        <w:trPr>
          <w:trHeight w:val="510"/>
        </w:trPr>
        <w:tc>
          <w:tcPr>
            <w:tcW w:w="1440" w:type="dxa"/>
            <w:tcBorders>
              <w:top w:val="single" w:sz="6" w:space="0" w:color="auto"/>
              <w:left w:val="single" w:sz="12" w:space="0" w:color="auto"/>
              <w:bottom w:val="single" w:sz="12" w:space="0" w:color="auto"/>
              <w:right w:val="single" w:sz="12" w:space="0" w:color="auto"/>
            </w:tcBorders>
            <w:noWrap/>
            <w:vAlign w:val="bottom"/>
          </w:tcPr>
          <w:p w:rsidR="008C147A" w:rsidRDefault="008C147A" w:rsidP="000E2358">
            <w:pPr>
              <w:ind w:right="113"/>
              <w:jc w:val="right"/>
              <w:rPr>
                <w:rFonts w:ascii="Arial" w:eastAsia="Arial Unicode MS" w:hAnsi="Arial" w:cs="Arial"/>
                <w:sz w:val="18"/>
                <w:szCs w:val="20"/>
                <w:lang w:val="el-GR"/>
              </w:rPr>
            </w:pPr>
            <w:r>
              <w:rPr>
                <w:rFonts w:ascii="Arial" w:hAnsi="Arial" w:cs="Arial"/>
                <w:sz w:val="18"/>
                <w:szCs w:val="20"/>
                <w:lang w:val="el-GR"/>
              </w:rPr>
              <w:t>ΣΥΝΟΛΟ</w:t>
            </w:r>
          </w:p>
        </w:tc>
        <w:tc>
          <w:tcPr>
            <w:tcW w:w="702" w:type="dxa"/>
            <w:tcBorders>
              <w:top w:val="single" w:sz="6" w:space="0" w:color="auto"/>
              <w:left w:val="single" w:sz="12" w:space="0" w:color="auto"/>
              <w:bottom w:val="single" w:sz="12" w:space="0" w:color="auto"/>
              <w:right w:val="single" w:sz="6" w:space="0" w:color="auto"/>
            </w:tcBorders>
            <w:noWrap/>
            <w:vAlign w:val="bottom"/>
          </w:tcPr>
          <w:p w:rsidR="008C147A" w:rsidRDefault="008C147A" w:rsidP="000E2358">
            <w:pPr>
              <w:ind w:right="113"/>
              <w:jc w:val="right"/>
              <w:rPr>
                <w:rFonts w:ascii="Arial" w:eastAsia="Arial Unicode MS" w:hAnsi="Arial" w:cs="Arial"/>
                <w:b/>
                <w:bCs/>
                <w:sz w:val="20"/>
                <w:szCs w:val="20"/>
                <w:lang w:val="el-GR"/>
              </w:rPr>
            </w:pPr>
            <w:r>
              <w:rPr>
                <w:rFonts w:ascii="Arial" w:hAnsi="Arial" w:cs="Arial"/>
                <w:b/>
                <w:bCs/>
                <w:sz w:val="20"/>
                <w:szCs w:val="20"/>
                <w:lang w:val="el-GR"/>
              </w:rPr>
              <w:t>89</w:t>
            </w:r>
          </w:p>
        </w:tc>
        <w:tc>
          <w:tcPr>
            <w:tcW w:w="1275" w:type="dxa"/>
            <w:tcBorders>
              <w:top w:val="single" w:sz="6" w:space="0" w:color="auto"/>
              <w:left w:val="single" w:sz="6" w:space="0" w:color="auto"/>
              <w:bottom w:val="single" w:sz="12" w:space="0" w:color="auto"/>
              <w:right w:val="single" w:sz="12" w:space="0" w:color="auto"/>
            </w:tcBorders>
            <w:vAlign w:val="bottom"/>
          </w:tcPr>
          <w:p w:rsidR="008C147A" w:rsidRDefault="008C147A" w:rsidP="000E2358">
            <w:pPr>
              <w:ind w:right="113"/>
              <w:jc w:val="right"/>
              <w:rPr>
                <w:rFonts w:ascii="Arial" w:hAnsi="Arial" w:cs="Arial"/>
                <w:b/>
                <w:bCs/>
                <w:i/>
                <w:iCs/>
                <w:sz w:val="20"/>
                <w:szCs w:val="20"/>
                <w:lang w:val="el-GR"/>
              </w:rPr>
            </w:pPr>
            <w:r>
              <w:rPr>
                <w:rFonts w:ascii="Arial" w:hAnsi="Arial" w:cs="Arial"/>
                <w:b/>
                <w:bCs/>
                <w:i/>
                <w:iCs/>
                <w:sz w:val="20"/>
                <w:szCs w:val="20"/>
                <w:lang w:val="el-GR"/>
              </w:rPr>
              <w:t>100,00%</w:t>
            </w:r>
          </w:p>
        </w:tc>
        <w:tc>
          <w:tcPr>
            <w:tcW w:w="439" w:type="dxa"/>
            <w:vAlign w:val="bottom"/>
          </w:tcPr>
          <w:p w:rsidR="008C147A" w:rsidRPr="00DD5C5A" w:rsidRDefault="008C147A" w:rsidP="000E2358">
            <w:pPr>
              <w:jc w:val="right"/>
              <w:rPr>
                <w:rFonts w:ascii="Calibri" w:hAnsi="Calibri" w:cs="Calibri"/>
                <w:color w:val="000000"/>
                <w:lang w:val="el-GR"/>
              </w:rPr>
            </w:pPr>
          </w:p>
        </w:tc>
        <w:tc>
          <w:tcPr>
            <w:tcW w:w="976" w:type="dxa"/>
            <w:vAlign w:val="bottom"/>
          </w:tcPr>
          <w:p w:rsidR="008C147A" w:rsidRPr="00DD5C5A" w:rsidRDefault="008C147A" w:rsidP="000E2358">
            <w:pPr>
              <w:rPr>
                <w:rFonts w:ascii="Calibri" w:hAnsi="Calibri" w:cs="Calibri"/>
                <w:color w:val="000000"/>
                <w:lang w:val="el-GR"/>
              </w:rPr>
            </w:pPr>
          </w:p>
        </w:tc>
      </w:tr>
    </w:tbl>
    <w:p w:rsidR="00BF0679" w:rsidRDefault="00BF0679" w:rsidP="00F302BE">
      <w:pPr>
        <w:spacing w:before="120" w:line="288" w:lineRule="auto"/>
        <w:ind w:firstLine="720"/>
        <w:jc w:val="both"/>
        <w:rPr>
          <w:bCs/>
          <w:lang w:val="el-GR"/>
        </w:rPr>
      </w:pPr>
    </w:p>
    <w:p w:rsidR="009270F8" w:rsidRDefault="007231FD" w:rsidP="00F302BE">
      <w:pPr>
        <w:spacing w:before="120" w:line="288" w:lineRule="auto"/>
        <w:ind w:firstLine="720"/>
        <w:jc w:val="both"/>
        <w:rPr>
          <w:bCs/>
          <w:lang w:val="el-GR"/>
        </w:rPr>
      </w:pPr>
      <w:r>
        <w:rPr>
          <w:bCs/>
          <w:lang w:val="el-GR"/>
        </w:rPr>
        <w:t xml:space="preserve">Η παραπάνω διαπίστωση σε συνδυασμό με τις απαντήσεις που καταγράφηκαν σχετικά με το αν οι μαθητές συχνάζουν σε χώρους που διαθέτουν πρόσβαση στο διαδίκτυο, όπως </w:t>
      </w:r>
      <w:r>
        <w:rPr>
          <w:bCs/>
          <w:lang w:val="en-US"/>
        </w:rPr>
        <w:t>Internet</w:t>
      </w:r>
      <w:r w:rsidRPr="007231FD">
        <w:rPr>
          <w:bCs/>
          <w:lang w:val="el-GR"/>
        </w:rPr>
        <w:t xml:space="preserve"> </w:t>
      </w:r>
      <w:r>
        <w:rPr>
          <w:bCs/>
          <w:lang w:val="en-US"/>
        </w:rPr>
        <w:t>Cafes</w:t>
      </w:r>
      <w:r w:rsidRPr="007231FD">
        <w:rPr>
          <w:bCs/>
          <w:lang w:val="el-GR"/>
        </w:rPr>
        <w:t>,</w:t>
      </w:r>
      <w:r>
        <w:rPr>
          <w:bCs/>
          <w:lang w:val="el-GR"/>
        </w:rPr>
        <w:t xml:space="preserve"> οδηγεί στο συμπέρασμα ότι </w:t>
      </w:r>
      <w:r w:rsidR="00AB69F5">
        <w:rPr>
          <w:bCs/>
          <w:lang w:val="el-GR"/>
        </w:rPr>
        <w:t>το</w:t>
      </w:r>
      <w:r>
        <w:rPr>
          <w:bCs/>
          <w:lang w:val="el-GR"/>
        </w:rPr>
        <w:t xml:space="preserve"> σχετικά υψηλ</w:t>
      </w:r>
      <w:r w:rsidR="00AB69F5">
        <w:rPr>
          <w:bCs/>
          <w:lang w:val="el-GR"/>
        </w:rPr>
        <w:t>ό ποσοστό</w:t>
      </w:r>
      <w:r>
        <w:rPr>
          <w:bCs/>
          <w:lang w:val="el-GR"/>
        </w:rPr>
        <w:t xml:space="preserve"> θετικ</w:t>
      </w:r>
      <w:r w:rsidR="00AB69F5">
        <w:rPr>
          <w:bCs/>
          <w:lang w:val="el-GR"/>
        </w:rPr>
        <w:t>ών</w:t>
      </w:r>
      <w:r>
        <w:rPr>
          <w:bCs/>
          <w:lang w:val="el-GR"/>
        </w:rPr>
        <w:t xml:space="preserve"> απαντήσε</w:t>
      </w:r>
      <w:r w:rsidR="00AB69F5">
        <w:rPr>
          <w:bCs/>
          <w:lang w:val="el-GR"/>
        </w:rPr>
        <w:t>ων</w:t>
      </w:r>
      <w:r>
        <w:rPr>
          <w:bCs/>
          <w:lang w:val="el-GR"/>
        </w:rPr>
        <w:t xml:space="preserve"> στην τελευταία αυτή ερώτηση, οφείλεται στο ότι η επισκεψιμότητα στους χώρους αυτούς από τους μαθητές λειτουργεί </w:t>
      </w:r>
      <w:r w:rsidR="009270F8">
        <w:rPr>
          <w:bCs/>
          <w:lang w:val="el-GR"/>
        </w:rPr>
        <w:t xml:space="preserve">αποκλειστικά </w:t>
      </w:r>
      <w:r>
        <w:rPr>
          <w:bCs/>
          <w:lang w:val="el-GR"/>
        </w:rPr>
        <w:t>ως ανάγκη κοινωνικοποίησης και ψυχαγωγίας</w:t>
      </w:r>
      <w:r w:rsidR="009270F8">
        <w:rPr>
          <w:bCs/>
          <w:lang w:val="el-GR"/>
        </w:rPr>
        <w:t xml:space="preserve">. Αποτυπώνεται, λοιπόν, ότι το είδος αυτό ψυχαγωγίας προκρίνεται από το ήμισυ σχεδόν των μαθητών, και συγκεκριμένα από το 43,82% των ερωτώμενων. </w:t>
      </w:r>
    </w:p>
    <w:p w:rsidR="00F302BE" w:rsidRDefault="009270F8" w:rsidP="00F302BE">
      <w:pPr>
        <w:spacing w:before="120" w:line="288" w:lineRule="auto"/>
        <w:ind w:firstLine="720"/>
        <w:jc w:val="both"/>
        <w:rPr>
          <w:bCs/>
          <w:lang w:val="el-GR"/>
        </w:rPr>
      </w:pPr>
      <w:r>
        <w:rPr>
          <w:bCs/>
          <w:lang w:val="el-GR"/>
        </w:rPr>
        <w:t xml:space="preserve">Ενδιαφέρον εύρημα αποτελεί το γεγονός ότι συσχετίζοντας το φύλο των μαθητών </w:t>
      </w:r>
      <w:r w:rsidR="00E87E72">
        <w:rPr>
          <w:bCs/>
          <w:lang w:val="el-GR"/>
        </w:rPr>
        <w:t>με τις απαντήσεις στο ερώτημα αυτό</w:t>
      </w:r>
      <w:r w:rsidR="008528D1">
        <w:rPr>
          <w:bCs/>
          <w:lang w:val="el-GR"/>
        </w:rPr>
        <w:t>,</w:t>
      </w:r>
      <w:r w:rsidR="00E87E72">
        <w:rPr>
          <w:bCs/>
          <w:lang w:val="el-GR"/>
        </w:rPr>
        <w:t xml:space="preserve"> εμφανίζεται ότι </w:t>
      </w:r>
      <w:r w:rsidR="0038019A">
        <w:rPr>
          <w:bCs/>
          <w:lang w:val="el-GR"/>
        </w:rPr>
        <w:t xml:space="preserve">αν και τα αγόρια που συχνάζουν στα εν λόγω μέρη είναι περισσότερα, το ποσοστό των κοριτσιών σε αυτά φτάνει στο </w:t>
      </w:r>
      <w:r w:rsidR="00AB69F5">
        <w:rPr>
          <w:bCs/>
          <w:lang w:val="el-GR"/>
        </w:rPr>
        <w:t xml:space="preserve">43,59% (κορίτσια που συχνάζουν σε χώρους όπως τα </w:t>
      </w:r>
      <w:r w:rsidR="00AB69F5">
        <w:rPr>
          <w:bCs/>
          <w:lang w:val="en-US"/>
        </w:rPr>
        <w:t>Internet</w:t>
      </w:r>
      <w:r w:rsidR="00AB69F5" w:rsidRPr="00AB69F5">
        <w:rPr>
          <w:bCs/>
          <w:lang w:val="el-GR"/>
        </w:rPr>
        <w:t xml:space="preserve"> </w:t>
      </w:r>
      <w:r w:rsidR="00AB69F5">
        <w:rPr>
          <w:bCs/>
          <w:lang w:val="en-US"/>
        </w:rPr>
        <w:t>Cafes</w:t>
      </w:r>
      <w:r w:rsidR="00AB69F5" w:rsidRPr="00AB69F5">
        <w:rPr>
          <w:bCs/>
          <w:lang w:val="el-GR"/>
        </w:rPr>
        <w:t xml:space="preserve"> </w:t>
      </w:r>
      <w:r w:rsidR="00AB69F5">
        <w:rPr>
          <w:bCs/>
          <w:lang w:val="el-GR"/>
        </w:rPr>
        <w:t>προς το σύνολο των μαθητών που συχνάζουν σε αυτούς</w:t>
      </w:r>
      <w:r w:rsidR="00AB69F5" w:rsidRPr="00AB69F5">
        <w:rPr>
          <w:bCs/>
          <w:lang w:val="el-GR"/>
        </w:rPr>
        <w:t>)</w:t>
      </w:r>
      <w:r w:rsidR="00AB69F5">
        <w:rPr>
          <w:bCs/>
          <w:lang w:val="el-GR"/>
        </w:rPr>
        <w:t xml:space="preserve">. [Βλέπε διάγραμμα </w:t>
      </w:r>
      <w:r w:rsidR="00132EC8" w:rsidRPr="00926F1C">
        <w:rPr>
          <w:bCs/>
          <w:lang w:val="el-GR"/>
        </w:rPr>
        <w:t>3</w:t>
      </w:r>
      <w:r w:rsidR="00AB69F5">
        <w:rPr>
          <w:bCs/>
          <w:lang w:val="el-GR"/>
        </w:rPr>
        <w:t>.]</w:t>
      </w:r>
      <w:r w:rsidR="00F302BE">
        <w:rPr>
          <w:bCs/>
          <w:lang w:val="el-GR"/>
        </w:rPr>
        <w:t xml:space="preserve"> </w:t>
      </w:r>
    </w:p>
    <w:p w:rsidR="00926F1C" w:rsidRPr="00F302BE" w:rsidRDefault="00B0297A" w:rsidP="00F302BE">
      <w:pPr>
        <w:spacing w:before="120" w:line="288" w:lineRule="auto"/>
        <w:ind w:firstLine="720"/>
        <w:jc w:val="both"/>
        <w:rPr>
          <w:bCs/>
          <w:lang w:val="el-GR"/>
        </w:rPr>
      </w:pPr>
      <w:r>
        <w:rPr>
          <w:bCs/>
          <w:noProof/>
          <w:lang w:val="el-GR" w:eastAsia="en-US"/>
        </w:rPr>
        <w:pict>
          <v:shapetype id="_x0000_t202" coordsize="21600,21600" o:spt="202" path="m,l,21600r21600,l21600,xe">
            <v:stroke joinstyle="miter"/>
            <v:path gradientshapeok="t" o:connecttype="rect"/>
          </v:shapetype>
          <v:shape id="_x0000_s1039" type="#_x0000_t202" style="position:absolute;left:0;text-align:left;margin-left:0;margin-top:0;width:266.95pt;height:45.65pt;z-index:251668480;mso-position-horizontal:center;mso-width-relative:margin;mso-height-relative:margin" stroked="f">
            <v:textbox>
              <w:txbxContent>
                <w:p w:rsidR="001C4041" w:rsidRPr="00A11781" w:rsidRDefault="001C4041" w:rsidP="00926F1C">
                  <w:pPr>
                    <w:spacing w:before="120" w:line="288" w:lineRule="auto"/>
                    <w:jc w:val="center"/>
                    <w:rPr>
                      <w:rFonts w:ascii="Book Antiqua" w:hAnsi="Book Antiqua"/>
                      <w:b/>
                      <w:lang w:val="el-GR"/>
                    </w:rPr>
                  </w:pPr>
                  <w:r w:rsidRPr="00A11781">
                    <w:rPr>
                      <w:rFonts w:ascii="Book Antiqua" w:hAnsi="Book Antiqua"/>
                      <w:b/>
                      <w:lang w:val="el-GR"/>
                    </w:rPr>
                    <w:t xml:space="preserve">Συχνάζετε σε χώρους που παρέχουν πρόσβαση στο διαδίκτυο, όπως </w:t>
                  </w:r>
                  <w:r w:rsidRPr="00A11781">
                    <w:rPr>
                      <w:rFonts w:ascii="Book Antiqua" w:hAnsi="Book Antiqua"/>
                      <w:b/>
                      <w:lang w:val="en-US"/>
                    </w:rPr>
                    <w:t>Internet</w:t>
                  </w:r>
                  <w:r w:rsidRPr="00A11781">
                    <w:rPr>
                      <w:rFonts w:ascii="Book Antiqua" w:hAnsi="Book Antiqua"/>
                      <w:b/>
                      <w:lang w:val="el-GR"/>
                    </w:rPr>
                    <w:t xml:space="preserve"> </w:t>
                  </w:r>
                  <w:r w:rsidRPr="00A11781">
                    <w:rPr>
                      <w:rFonts w:ascii="Book Antiqua" w:hAnsi="Book Antiqua"/>
                      <w:b/>
                      <w:lang w:val="en-US"/>
                    </w:rPr>
                    <w:t>Cafes</w:t>
                  </w:r>
                  <w:r w:rsidRPr="00A11781">
                    <w:rPr>
                      <w:rFonts w:ascii="Book Antiqua" w:hAnsi="Book Antiqua"/>
                      <w:b/>
                      <w:lang w:val="el-GR"/>
                    </w:rPr>
                    <w:t>;</w:t>
                  </w:r>
                </w:p>
                <w:p w:rsidR="001C4041" w:rsidRPr="00A11781" w:rsidRDefault="001C4041">
                  <w:pPr>
                    <w:rPr>
                      <w:rFonts w:ascii="Book Antiqua" w:hAnsi="Book Antiqua"/>
                      <w:b/>
                      <w:lang w:val="el-GR"/>
                    </w:rPr>
                  </w:pPr>
                </w:p>
              </w:txbxContent>
            </v:textbox>
          </v:shape>
        </w:pict>
      </w:r>
    </w:p>
    <w:p w:rsidR="00926F1C" w:rsidRPr="00926F1C" w:rsidRDefault="00926F1C" w:rsidP="009D6653">
      <w:pPr>
        <w:spacing w:before="120" w:line="288" w:lineRule="auto"/>
        <w:jc w:val="both"/>
        <w:rPr>
          <w:lang w:val="el-GR"/>
        </w:rPr>
      </w:pPr>
    </w:p>
    <w:p w:rsidR="00926F1C" w:rsidRPr="00926F1C" w:rsidRDefault="0041704C" w:rsidP="009D6653">
      <w:pPr>
        <w:spacing w:before="120" w:line="288" w:lineRule="auto"/>
        <w:jc w:val="both"/>
        <w:rPr>
          <w:lang w:val="el-GR"/>
        </w:rPr>
      </w:pPr>
      <w:r>
        <w:rPr>
          <w:noProof/>
          <w:lang w:val="el-GR" w:eastAsia="el-GR"/>
        </w:rPr>
        <w:drawing>
          <wp:anchor distT="0" distB="0" distL="114300" distR="114300" simplePos="0" relativeHeight="251670528" behindDoc="1" locked="0" layoutInCell="1" allowOverlap="1">
            <wp:simplePos x="0" y="0"/>
            <wp:positionH relativeFrom="column">
              <wp:posOffset>3095625</wp:posOffset>
            </wp:positionH>
            <wp:positionV relativeFrom="paragraph">
              <wp:posOffset>160020</wp:posOffset>
            </wp:positionV>
            <wp:extent cx="2743200" cy="1571625"/>
            <wp:effectExtent l="0" t="0" r="0" b="0"/>
            <wp:wrapNone/>
            <wp:docPr id="12"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26F1C">
        <w:rPr>
          <w:noProof/>
          <w:lang w:val="el-GR" w:eastAsia="el-GR"/>
        </w:rPr>
        <w:drawing>
          <wp:anchor distT="0" distB="0" distL="114300" distR="114300" simplePos="0" relativeHeight="251666432" behindDoc="1" locked="0" layoutInCell="1" allowOverlap="1">
            <wp:simplePos x="0" y="0"/>
            <wp:positionH relativeFrom="column">
              <wp:posOffset>0</wp:posOffset>
            </wp:positionH>
            <wp:positionV relativeFrom="paragraph">
              <wp:posOffset>45720</wp:posOffset>
            </wp:positionV>
            <wp:extent cx="2676525" cy="1876425"/>
            <wp:effectExtent l="0" t="0" r="0" b="0"/>
            <wp:wrapNone/>
            <wp:docPr id="10"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26F1C" w:rsidRPr="00926F1C" w:rsidRDefault="00B0297A" w:rsidP="009D6653">
      <w:pPr>
        <w:spacing w:before="120" w:line="288" w:lineRule="auto"/>
        <w:jc w:val="both"/>
        <w:rPr>
          <w:lang w:val="el-GR"/>
        </w:rPr>
      </w:pPr>
      <w:r>
        <w:rPr>
          <w:noProof/>
          <w:lang w:val="el-GR" w:eastAsia="el-GR"/>
        </w:rPr>
        <w:pict>
          <v:shapetype id="_x0000_t32" coordsize="21600,21600" o:spt="32" o:oned="t" path="m,l21600,21600e" filled="f">
            <v:path arrowok="t" fillok="f" o:connecttype="none"/>
            <o:lock v:ext="edit" shapetype="t"/>
          </v:shapetype>
          <v:shape id="_x0000_s1040" type="#_x0000_t32" style="position:absolute;left:0;text-align:left;margin-left:105.75pt;margin-top:1.2pt;width:201pt;height:0;z-index:251669504" o:connectortype="straight">
            <v:stroke dashstyle="dash"/>
          </v:shape>
        </w:pict>
      </w:r>
    </w:p>
    <w:p w:rsidR="00926F1C" w:rsidRPr="00926F1C" w:rsidRDefault="00926F1C" w:rsidP="009D6653">
      <w:pPr>
        <w:spacing w:before="120" w:line="288" w:lineRule="auto"/>
        <w:jc w:val="both"/>
        <w:rPr>
          <w:lang w:val="el-GR"/>
        </w:rPr>
      </w:pPr>
    </w:p>
    <w:p w:rsidR="00926F1C" w:rsidRPr="00926F1C" w:rsidRDefault="00926F1C" w:rsidP="009D6653">
      <w:pPr>
        <w:spacing w:before="120" w:line="288" w:lineRule="auto"/>
        <w:jc w:val="both"/>
        <w:rPr>
          <w:lang w:val="el-GR"/>
        </w:rPr>
      </w:pPr>
    </w:p>
    <w:p w:rsidR="00926F1C" w:rsidRPr="00926F1C" w:rsidRDefault="00926F1C" w:rsidP="009D6653">
      <w:pPr>
        <w:spacing w:before="120" w:line="288" w:lineRule="auto"/>
        <w:jc w:val="both"/>
        <w:rPr>
          <w:lang w:val="el-GR"/>
        </w:rPr>
      </w:pPr>
    </w:p>
    <w:p w:rsidR="00926F1C" w:rsidRDefault="00B0297A" w:rsidP="009D6653">
      <w:pPr>
        <w:spacing w:before="120" w:line="288" w:lineRule="auto"/>
        <w:jc w:val="both"/>
        <w:rPr>
          <w:lang w:val="el-GR"/>
        </w:rPr>
      </w:pPr>
      <w:r>
        <w:rPr>
          <w:noProof/>
          <w:lang w:val="el-GR" w:eastAsia="el-GR"/>
        </w:rPr>
        <w:pict>
          <v:shape id="_x0000_s1041" type="#_x0000_t32" style="position:absolute;left:0;text-align:left;margin-left:126pt;margin-top:13pt;width:174pt;height:0;z-index:251671552" o:connectortype="straight">
            <v:stroke dashstyle="dash"/>
          </v:shape>
        </w:pict>
      </w:r>
    </w:p>
    <w:p w:rsidR="00DD5C5A" w:rsidRDefault="00BF0679" w:rsidP="00DD5C5A">
      <w:pPr>
        <w:spacing w:before="120" w:after="120" w:line="288" w:lineRule="auto"/>
        <w:jc w:val="both"/>
        <w:rPr>
          <w:lang w:val="el-GR"/>
        </w:rPr>
      </w:pPr>
      <w:r>
        <w:rPr>
          <w:b/>
          <w:lang w:val="el-GR"/>
        </w:rPr>
        <w:t>Διάγραμμα</w:t>
      </w:r>
      <w:r w:rsidR="00DD5C5A">
        <w:rPr>
          <w:b/>
          <w:lang w:val="el-GR"/>
        </w:rPr>
        <w:t xml:space="preserve"> </w:t>
      </w:r>
      <w:r w:rsidR="008D3AF5">
        <w:rPr>
          <w:b/>
          <w:lang w:val="el-GR"/>
        </w:rPr>
        <w:t>3</w:t>
      </w:r>
      <w:r w:rsidR="00DD5C5A">
        <w:rPr>
          <w:lang w:val="el-GR"/>
        </w:rPr>
        <w:t xml:space="preserve">: Αριθμός μαθητών που </w:t>
      </w:r>
      <w:r w:rsidR="008D3AF5">
        <w:rPr>
          <w:lang w:val="el-GR"/>
        </w:rPr>
        <w:t xml:space="preserve">συχνάζουν σε χώρους που παρέχουν πρόσβαση στο διαδίκτυο, όπως </w:t>
      </w:r>
      <w:r w:rsidR="008D3AF5">
        <w:rPr>
          <w:lang w:val="en-US"/>
        </w:rPr>
        <w:t>Internet</w:t>
      </w:r>
      <w:r w:rsidR="008D3AF5" w:rsidRPr="008D3AF5">
        <w:rPr>
          <w:lang w:val="el-GR"/>
        </w:rPr>
        <w:t xml:space="preserve"> </w:t>
      </w:r>
      <w:r w:rsidR="008D3AF5">
        <w:rPr>
          <w:lang w:val="en-US"/>
        </w:rPr>
        <w:t>Cafes</w:t>
      </w:r>
      <w:r w:rsidR="008D3AF5" w:rsidRPr="008D3AF5">
        <w:rPr>
          <w:lang w:val="el-GR"/>
        </w:rPr>
        <w:t xml:space="preserve">, </w:t>
      </w:r>
      <w:r w:rsidR="008D3AF5">
        <w:rPr>
          <w:lang w:val="el-GR"/>
        </w:rPr>
        <w:t>σε σχέση με το φύλο τους.</w:t>
      </w:r>
    </w:p>
    <w:p w:rsidR="00BF0679" w:rsidRPr="008D3AF5" w:rsidRDefault="00BF0679" w:rsidP="00DD5C5A">
      <w:pPr>
        <w:spacing w:before="120" w:after="120" w:line="288" w:lineRule="auto"/>
        <w:jc w:val="both"/>
        <w:rPr>
          <w:lang w:val="el-GR"/>
        </w:rPr>
      </w:pPr>
    </w:p>
    <w:p w:rsidR="00DD5C5A" w:rsidRPr="00483298" w:rsidRDefault="00483298" w:rsidP="00DD5C5A">
      <w:pPr>
        <w:spacing w:before="120" w:line="288" w:lineRule="auto"/>
        <w:jc w:val="both"/>
        <w:rPr>
          <w:lang w:val="el-GR"/>
        </w:rPr>
      </w:pPr>
      <w:r w:rsidRPr="00262971">
        <w:rPr>
          <w:lang w:val="el-GR"/>
        </w:rPr>
        <w:tab/>
      </w:r>
      <w:r>
        <w:rPr>
          <w:lang w:val="el-GR"/>
        </w:rPr>
        <w:t>Η έρευνα στον θεματικό αυτό</w:t>
      </w:r>
      <w:r w:rsidR="001815DB">
        <w:rPr>
          <w:lang w:val="el-GR"/>
        </w:rPr>
        <w:t>ν</w:t>
      </w:r>
      <w:r>
        <w:rPr>
          <w:lang w:val="el-GR"/>
        </w:rPr>
        <w:t xml:space="preserve"> άξονα εστίασε στον χρόνο σύνδεσης στο διαδίκτυο των ερωτώμενων κατά τη διάρκεια μιας σχολικής μέρας και στην αξιολογική διαβάθμιση του χρόνου αυτού σε σχέση με το χρόνο σύνδεσης τις αργίες και τα Σ/Κ. Από τις απαντήσεις </w:t>
      </w:r>
      <w:r w:rsidR="00262971">
        <w:rPr>
          <w:lang w:val="el-GR"/>
        </w:rPr>
        <w:t xml:space="preserve">διαπιστώνεται ότι το 61,80% του δείγματος συνδέεται μία έως τρεις (1-3) ώρες κατά τη διάρκεια μιας τυπικής σχολικής μέρας, ενώ σχεδόν ισόποσα είναι τα ποσοστά τόσο αυτών που συνδέονται έως μία ώρα (0-1), 16,85%, όσο και αυτών που συνδέονται 3-5 ώρες, 14,61%. Άξιο προσοχής είναι το ποσοστό 6,74%, το οποίο αφορά στους μαθητές που συνδέονται πάνω από 5 ώρες (βλ. διάγρ. 4).  </w:t>
      </w:r>
    </w:p>
    <w:p w:rsidR="005C0913" w:rsidRDefault="00B0297A" w:rsidP="009D6653">
      <w:pPr>
        <w:spacing w:before="120" w:line="288" w:lineRule="auto"/>
        <w:jc w:val="both"/>
        <w:rPr>
          <w:lang w:val="el-GR"/>
        </w:rPr>
      </w:pPr>
      <w:r>
        <w:rPr>
          <w:noProof/>
          <w:lang w:val="el-GR" w:eastAsia="el-GR"/>
        </w:rPr>
        <w:pict>
          <v:shape id="_x0000_s1042" type="#_x0000_t202" style="position:absolute;left:0;text-align:left;margin-left:86.25pt;margin-top:3.3pt;width:266.95pt;height:45.65pt;z-index:251673600;mso-width-relative:margin;mso-height-relative:margin" stroked="f">
            <v:textbox>
              <w:txbxContent>
                <w:p w:rsidR="001C4041" w:rsidRPr="00A11781" w:rsidRDefault="001C4041" w:rsidP="00262971">
                  <w:pPr>
                    <w:spacing w:before="120" w:line="288" w:lineRule="auto"/>
                    <w:jc w:val="center"/>
                    <w:rPr>
                      <w:rFonts w:ascii="Book Antiqua" w:hAnsi="Book Antiqua"/>
                      <w:b/>
                      <w:lang w:val="el-GR"/>
                    </w:rPr>
                  </w:pPr>
                  <w:r w:rsidRPr="00A11781">
                    <w:rPr>
                      <w:rFonts w:ascii="Book Antiqua" w:hAnsi="Book Antiqua"/>
                      <w:b/>
                      <w:lang w:val="el-GR"/>
                    </w:rPr>
                    <w:t>Πόσες ώρες συνδέεστε στο διαδίκτυο κατά τη διάρκεια μιας σχολικής ημέρας;</w:t>
                  </w:r>
                </w:p>
                <w:p w:rsidR="001C4041" w:rsidRPr="00A11781" w:rsidRDefault="001C4041" w:rsidP="00262971">
                  <w:pPr>
                    <w:rPr>
                      <w:rFonts w:ascii="Book Antiqua" w:hAnsi="Book Antiqua"/>
                      <w:b/>
                      <w:lang w:val="el-GR"/>
                    </w:rPr>
                  </w:pPr>
                </w:p>
              </w:txbxContent>
            </v:textbox>
            <w10:wrap type="square"/>
          </v:shape>
        </w:pict>
      </w:r>
    </w:p>
    <w:p w:rsidR="001815DB" w:rsidRDefault="001815DB" w:rsidP="009D6653">
      <w:pPr>
        <w:spacing w:before="120" w:line="288" w:lineRule="auto"/>
        <w:jc w:val="both"/>
        <w:rPr>
          <w:b/>
          <w:lang w:val="el-GR"/>
        </w:rPr>
      </w:pPr>
      <w:r>
        <w:rPr>
          <w:b/>
          <w:noProof/>
          <w:lang w:val="el-GR" w:eastAsia="el-GR"/>
        </w:rPr>
        <w:drawing>
          <wp:anchor distT="0" distB="0" distL="114300" distR="114300" simplePos="0" relativeHeight="251672576" behindDoc="0" locked="0" layoutInCell="1" allowOverlap="1">
            <wp:simplePos x="0" y="0"/>
            <wp:positionH relativeFrom="margin">
              <wp:align>center</wp:align>
            </wp:positionH>
            <wp:positionV relativeFrom="paragraph">
              <wp:posOffset>319405</wp:posOffset>
            </wp:positionV>
            <wp:extent cx="5043805" cy="1808480"/>
            <wp:effectExtent l="0" t="0" r="0" b="0"/>
            <wp:wrapTopAndBottom/>
            <wp:docPr id="13"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483298" w:rsidRDefault="001815DB" w:rsidP="009D6653">
      <w:pPr>
        <w:spacing w:before="120" w:line="288" w:lineRule="auto"/>
        <w:jc w:val="both"/>
        <w:rPr>
          <w:lang w:val="el-GR"/>
        </w:rPr>
      </w:pPr>
      <w:r>
        <w:rPr>
          <w:b/>
          <w:lang w:val="el-GR"/>
        </w:rPr>
        <w:t>Διάγραμμα 4</w:t>
      </w:r>
      <w:r>
        <w:rPr>
          <w:lang w:val="el-GR"/>
        </w:rPr>
        <w:t>: Ώρες σύνδεσης των μαθητών στο διαδίκτυο κατά τη διάρκεια μιας τυπικής σχολικής ημέρας.</w:t>
      </w:r>
    </w:p>
    <w:p w:rsidR="00483298" w:rsidRDefault="00483298" w:rsidP="009D6653">
      <w:pPr>
        <w:spacing w:before="120" w:line="288" w:lineRule="auto"/>
        <w:jc w:val="both"/>
        <w:rPr>
          <w:lang w:val="el-GR"/>
        </w:rPr>
      </w:pPr>
    </w:p>
    <w:p w:rsidR="00082222" w:rsidRDefault="001815DB" w:rsidP="009D6653">
      <w:pPr>
        <w:spacing w:before="120" w:line="288" w:lineRule="auto"/>
        <w:jc w:val="both"/>
        <w:rPr>
          <w:lang w:val="el-GR"/>
        </w:rPr>
      </w:pPr>
      <w:r>
        <w:rPr>
          <w:lang w:val="el-GR"/>
        </w:rPr>
        <w:t xml:space="preserve"> </w:t>
      </w:r>
      <w:r>
        <w:rPr>
          <w:lang w:val="el-GR"/>
        </w:rPr>
        <w:tab/>
        <w:t xml:space="preserve">Ο χρόνος αυτός </w:t>
      </w:r>
      <w:r w:rsidR="008D1675">
        <w:rPr>
          <w:lang w:val="el-GR"/>
        </w:rPr>
        <w:t xml:space="preserve">στο σύνολο του δείγματος είτε διπλασιάζεται (38,20%) είτε παραμένει ο ίδιος (37,08%) κατά τη διάρκεια των αργιών και των Σ/Κ. Όμως ένα 15,73% του συνόλου των μαθητών τριπλασιάζει τις μέρες αυτές τις ώρες σύνδεσης στο διαδίκτυο ή και τις αυξάνει ακόμη περισσότερο </w:t>
      </w:r>
      <w:r w:rsidR="009B4FF6">
        <w:rPr>
          <w:lang w:val="el-GR"/>
        </w:rPr>
        <w:t xml:space="preserve">(σχεδόν 9% των μαθητών). Στο διάγραμμα 5 απεικονίζεται η διαβάθμιση των ωρών σύνδεσης τις αργίες στο σύνολο του δείγματος. </w:t>
      </w:r>
    </w:p>
    <w:p w:rsidR="00082222" w:rsidRDefault="00B0297A" w:rsidP="009D6653">
      <w:pPr>
        <w:spacing w:before="120" w:line="288" w:lineRule="auto"/>
        <w:jc w:val="both"/>
        <w:rPr>
          <w:lang w:val="el-GR"/>
        </w:rPr>
      </w:pPr>
      <w:r>
        <w:rPr>
          <w:noProof/>
          <w:lang w:val="el-GR" w:eastAsia="el-GR"/>
        </w:rPr>
        <w:pict>
          <v:shape id="_x0000_s1043" type="#_x0000_t202" style="position:absolute;left:0;text-align:left;margin-left:98.25pt;margin-top:6.4pt;width:300.7pt;height:45.65pt;z-index:251675648;mso-width-relative:margin;mso-height-relative:margin" stroked="f">
            <v:textbox>
              <w:txbxContent>
                <w:p w:rsidR="001C4041" w:rsidRPr="00A11781" w:rsidRDefault="001C4041" w:rsidP="00082222">
                  <w:pPr>
                    <w:spacing w:before="120" w:line="288" w:lineRule="auto"/>
                    <w:jc w:val="center"/>
                    <w:rPr>
                      <w:rFonts w:ascii="Book Antiqua" w:hAnsi="Book Antiqua"/>
                      <w:b/>
                      <w:lang w:val="el-GR"/>
                    </w:rPr>
                  </w:pPr>
                  <w:r w:rsidRPr="00A11781">
                    <w:rPr>
                      <w:rFonts w:ascii="Book Antiqua" w:hAnsi="Book Antiqua"/>
                      <w:b/>
                      <w:lang w:val="el-GR"/>
                    </w:rPr>
                    <w:t>Τις υπόλοιπες ημέρες (Σ/Κ, αργίες κ.λπ.), ο χρόνος σύνδεσης στο διαδίκτυο κατά την εκτίμησή σας:</w:t>
                  </w:r>
                </w:p>
              </w:txbxContent>
            </v:textbox>
            <w10:wrap type="square"/>
          </v:shape>
        </w:pict>
      </w:r>
    </w:p>
    <w:p w:rsidR="00082222" w:rsidRDefault="00A11781" w:rsidP="009D6653">
      <w:pPr>
        <w:spacing w:before="120" w:line="288" w:lineRule="auto"/>
        <w:jc w:val="both"/>
        <w:rPr>
          <w:lang w:val="el-GR"/>
        </w:rPr>
      </w:pPr>
      <w:r>
        <w:rPr>
          <w:noProof/>
          <w:lang w:val="el-GR" w:eastAsia="el-GR"/>
        </w:rPr>
        <w:drawing>
          <wp:anchor distT="0" distB="0" distL="114300" distR="114300" simplePos="0" relativeHeight="251674624" behindDoc="0" locked="0" layoutInCell="1" allowOverlap="1">
            <wp:simplePos x="0" y="0"/>
            <wp:positionH relativeFrom="margin">
              <wp:align>center</wp:align>
            </wp:positionH>
            <wp:positionV relativeFrom="paragraph">
              <wp:posOffset>306070</wp:posOffset>
            </wp:positionV>
            <wp:extent cx="5636895" cy="1788160"/>
            <wp:effectExtent l="0" t="0" r="0" b="0"/>
            <wp:wrapTopAndBottom/>
            <wp:docPr id="14"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82222" w:rsidRDefault="00082222" w:rsidP="009D6653">
      <w:pPr>
        <w:spacing w:before="120" w:line="288" w:lineRule="auto"/>
        <w:jc w:val="both"/>
        <w:rPr>
          <w:lang w:val="el-GR"/>
        </w:rPr>
      </w:pPr>
      <w:r>
        <w:rPr>
          <w:b/>
          <w:lang w:val="el-GR"/>
        </w:rPr>
        <w:t>Διάγραμμα 5</w:t>
      </w:r>
      <w:r>
        <w:rPr>
          <w:lang w:val="el-GR"/>
        </w:rPr>
        <w:t>: Αξιολογική διαβάθμιση των ωρών σύνδεσης των μαθητών στο διαδίκτυο κατά τη διάρκεια αργιών και Σ/Κ.</w:t>
      </w:r>
    </w:p>
    <w:p w:rsidR="00D66F35" w:rsidRDefault="00FF4DAA" w:rsidP="009D6653">
      <w:pPr>
        <w:spacing w:before="120" w:line="288" w:lineRule="auto"/>
        <w:jc w:val="both"/>
        <w:rPr>
          <w:lang w:val="el-GR"/>
        </w:rPr>
      </w:pPr>
      <w:r>
        <w:rPr>
          <w:lang w:val="el-GR"/>
        </w:rPr>
        <w:lastRenderedPageBreak/>
        <w:tab/>
      </w:r>
      <w:r w:rsidR="009B4FF6">
        <w:rPr>
          <w:lang w:val="el-GR"/>
        </w:rPr>
        <w:t xml:space="preserve">Στον πίνακα 3 </w:t>
      </w:r>
      <w:r>
        <w:rPr>
          <w:lang w:val="el-GR"/>
        </w:rPr>
        <w:t>που ακολουθεί, δίνονται</w:t>
      </w:r>
      <w:r w:rsidR="009B4FF6">
        <w:rPr>
          <w:lang w:val="el-GR"/>
        </w:rPr>
        <w:t xml:space="preserve"> τα αποτελέσματα τόσο σε απόλυτους αριθμούς όσο και σε ποσοστά</w:t>
      </w:r>
      <w:r>
        <w:rPr>
          <w:lang w:val="el-GR"/>
        </w:rPr>
        <w:t>,</w:t>
      </w:r>
      <w:r w:rsidR="009B4FF6">
        <w:rPr>
          <w:lang w:val="el-GR"/>
        </w:rPr>
        <w:t xml:space="preserve"> ενώ γίνεται </w:t>
      </w:r>
      <w:r>
        <w:rPr>
          <w:lang w:val="el-GR"/>
        </w:rPr>
        <w:t xml:space="preserve">και </w:t>
      </w:r>
      <w:r w:rsidR="009B4FF6">
        <w:rPr>
          <w:lang w:val="el-GR"/>
        </w:rPr>
        <w:t xml:space="preserve">συσχέτιση της διαβάθμισης των ωρών σύνδεσης </w:t>
      </w:r>
      <w:r w:rsidR="00A11781">
        <w:rPr>
          <w:lang w:val="el-GR"/>
        </w:rPr>
        <w:t xml:space="preserve">κατά τις </w:t>
      </w:r>
      <w:r w:rsidR="009B4FF6">
        <w:rPr>
          <w:lang w:val="el-GR"/>
        </w:rPr>
        <w:t>αργίες με τις ώρες σύνδεσης κατά τ</w:t>
      </w:r>
      <w:r>
        <w:rPr>
          <w:lang w:val="el-GR"/>
        </w:rPr>
        <w:t>η διάρκεια μιας σχολικής ημέρας.</w:t>
      </w:r>
      <w:r w:rsidR="009B4FF6">
        <w:rPr>
          <w:lang w:val="el-GR"/>
        </w:rPr>
        <w:t xml:space="preserve"> </w:t>
      </w:r>
      <w:r>
        <w:rPr>
          <w:lang w:val="el-GR"/>
        </w:rPr>
        <w:t>Ο</w:t>
      </w:r>
      <w:r w:rsidR="009B4FF6">
        <w:rPr>
          <w:lang w:val="el-GR"/>
        </w:rPr>
        <w:t>πότε για παράδειγμα</w:t>
      </w:r>
      <w:r>
        <w:rPr>
          <w:lang w:val="el-GR"/>
        </w:rPr>
        <w:t>,</w:t>
      </w:r>
      <w:r w:rsidR="009B4FF6">
        <w:rPr>
          <w:lang w:val="el-GR"/>
        </w:rPr>
        <w:t xml:space="preserve"> εμφανίζεται ότι οι μαθητές που διπλασιάζουν το</w:t>
      </w:r>
      <w:r w:rsidR="00082222">
        <w:rPr>
          <w:lang w:val="el-GR"/>
        </w:rPr>
        <w:t>ν</w:t>
      </w:r>
      <w:r w:rsidR="009B4FF6">
        <w:rPr>
          <w:lang w:val="el-GR"/>
        </w:rPr>
        <w:t xml:space="preserve"> χρόνο </w:t>
      </w:r>
      <w:r w:rsidR="00082222">
        <w:rPr>
          <w:lang w:val="el-GR"/>
        </w:rPr>
        <w:t xml:space="preserve">σύνδεσης κατά </w:t>
      </w:r>
      <w:r w:rsidR="00D66F35">
        <w:rPr>
          <w:lang w:val="el-GR"/>
        </w:rPr>
        <w:t xml:space="preserve">τις αργίες προέρχονται κατά το πλείστον, 70,59%, από το «σώμα» των μαθητών που συνδέονται 1-3 ώρες κατά τη διάρκεια μιας σχολικής μέρας. Οι υπόλοιποι προέρχονται κατά 14,71% από τους μαθητές που συνδέονται 3-5 ώρες, κατά 11,76% από τους μαθητές που συνδέονται έως μία ώρα και μόλις 2,94% (ήτοι ένας μαθητής στους </w:t>
      </w:r>
      <w:r w:rsidR="00405C1E">
        <w:rPr>
          <w:lang w:val="el-GR"/>
        </w:rPr>
        <w:t>89) προέρχεται από</w:t>
      </w:r>
      <w:r w:rsidR="00D66F35">
        <w:rPr>
          <w:lang w:val="el-GR"/>
        </w:rPr>
        <w:t xml:space="preserve"> αυτούς που συνδέονται πάνω από 5 ώρες ανά σχολική ημέρα. Τα αποτελέσματα αυτά απεικονίζονται και διαγραμματικά (βλ. διάγραμμα</w:t>
      </w:r>
      <w:r w:rsidR="00D426AA">
        <w:rPr>
          <w:lang w:val="el-GR"/>
        </w:rPr>
        <w:t xml:space="preserve"> 6). Αξίζει επίσης να επισημανθεί ότι οι μισοί από τους μαθητές που συνδέονται πάνω από 5 ώρες κατά τη διάρκεια μιας σχολικής ημέρας όχι μόνο διπλασιάζουν ή τριπλασιάζουν τον χρόνο σύνδεσής τους τις αργίες, αλλά εμφανίζονται «δικτυωμένοι» διαρκώς! </w:t>
      </w:r>
    </w:p>
    <w:p w:rsidR="00E40D0D" w:rsidRDefault="00E40D0D" w:rsidP="009D6653">
      <w:pPr>
        <w:spacing w:before="120" w:line="288" w:lineRule="auto"/>
        <w:jc w:val="both"/>
        <w:rPr>
          <w:b/>
          <w:lang w:val="el-GR"/>
        </w:rPr>
      </w:pPr>
    </w:p>
    <w:p w:rsidR="00D66F35" w:rsidRDefault="00E40D0D" w:rsidP="009D6653">
      <w:pPr>
        <w:spacing w:before="120" w:line="288" w:lineRule="auto"/>
        <w:jc w:val="both"/>
        <w:rPr>
          <w:lang w:val="el-GR"/>
        </w:rPr>
      </w:pPr>
      <w:r w:rsidRPr="00E40D0D">
        <w:rPr>
          <w:b/>
          <w:lang w:val="el-GR"/>
        </w:rPr>
        <w:t>Πίνακας 3</w:t>
      </w:r>
      <w:r>
        <w:rPr>
          <w:lang w:val="el-GR"/>
        </w:rPr>
        <w:t xml:space="preserve">: Χρόνος σύνδεσης κατά τις αργίες και τα Σ/Κ σε συσχέτιση με τις ώρες σύνδεσης ανά σχολική ημέρα </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567"/>
        <w:gridCol w:w="992"/>
        <w:gridCol w:w="567"/>
        <w:gridCol w:w="993"/>
        <w:gridCol w:w="566"/>
        <w:gridCol w:w="992"/>
        <w:gridCol w:w="567"/>
        <w:gridCol w:w="875"/>
        <w:gridCol w:w="543"/>
        <w:gridCol w:w="992"/>
      </w:tblGrid>
      <w:tr w:rsidR="002E2EC8" w:rsidRPr="002E2EC8" w:rsidTr="002E2EC8">
        <w:trPr>
          <w:trHeight w:val="300"/>
        </w:trPr>
        <w:tc>
          <w:tcPr>
            <w:tcW w:w="1843" w:type="dxa"/>
            <w:tcBorders>
              <w:bottom w:val="single" w:sz="4" w:space="0" w:color="auto"/>
              <w:right w:val="single" w:sz="4" w:space="0" w:color="auto"/>
            </w:tcBorders>
            <w:shd w:val="clear" w:color="auto" w:fill="auto"/>
            <w:noWrap/>
            <w:vAlign w:val="center"/>
            <w:hideMark/>
          </w:tcPr>
          <w:p w:rsidR="002E2EC8" w:rsidRPr="001D3C2B" w:rsidRDefault="002E2EC8" w:rsidP="002E2EC8">
            <w:pPr>
              <w:jc w:val="center"/>
              <w:rPr>
                <w:rFonts w:ascii="Book Antiqua" w:hAnsi="Book Antiqua" w:cs="Calibri"/>
                <w:color w:val="000000"/>
                <w:sz w:val="20"/>
                <w:szCs w:val="20"/>
                <w:lang w:val="el-GR" w:eastAsia="el-GR"/>
              </w:rPr>
            </w:pPr>
          </w:p>
        </w:tc>
        <w:tc>
          <w:tcPr>
            <w:tcW w:w="1559" w:type="dxa"/>
            <w:gridSpan w:val="2"/>
            <w:tcBorders>
              <w:top w:val="single" w:sz="4" w:space="0" w:color="auto"/>
              <w:left w:val="single" w:sz="4" w:space="0" w:color="auto"/>
              <w:bottom w:val="nil"/>
              <w:right w:val="single" w:sz="4" w:space="0" w:color="auto"/>
            </w:tcBorders>
            <w:shd w:val="clear" w:color="auto" w:fill="auto"/>
            <w:noWrap/>
            <w:vAlign w:val="center"/>
            <w:hideMark/>
          </w:tcPr>
          <w:p w:rsidR="002E2EC8" w:rsidRPr="001D3C2B" w:rsidRDefault="002E2EC8" w:rsidP="002E2EC8">
            <w:pPr>
              <w:jc w:val="center"/>
              <w:rPr>
                <w:rFonts w:ascii="Book Antiqua" w:hAnsi="Book Antiqua" w:cs="Calibri"/>
                <w:b/>
                <w:color w:val="000000"/>
                <w:sz w:val="20"/>
                <w:szCs w:val="20"/>
                <w:lang w:val="el-GR" w:eastAsia="el-GR"/>
              </w:rPr>
            </w:pPr>
            <w:r w:rsidRPr="002E2EC8">
              <w:rPr>
                <w:rFonts w:ascii="Book Antiqua" w:hAnsi="Book Antiqua" w:cs="Calibri"/>
                <w:b/>
                <w:color w:val="000000"/>
                <w:sz w:val="20"/>
                <w:szCs w:val="20"/>
                <w:lang w:val="el-GR" w:eastAsia="el-GR"/>
              </w:rPr>
              <w:t>&lt;</w:t>
            </w:r>
            <w:r w:rsidRPr="001D3C2B">
              <w:rPr>
                <w:rFonts w:ascii="Book Antiqua" w:hAnsi="Book Antiqua" w:cs="Calibri"/>
                <w:b/>
                <w:color w:val="000000"/>
                <w:sz w:val="20"/>
                <w:szCs w:val="20"/>
                <w:lang w:val="el-GR" w:eastAsia="el-GR"/>
              </w:rPr>
              <w:t>0-1&gt;</w:t>
            </w:r>
            <w:r w:rsidRPr="002E2EC8">
              <w:rPr>
                <w:rFonts w:ascii="Book Antiqua" w:hAnsi="Book Antiqua" w:cs="Calibri"/>
                <w:b/>
                <w:color w:val="000000"/>
                <w:sz w:val="20"/>
                <w:szCs w:val="20"/>
                <w:lang w:val="el-GR" w:eastAsia="el-GR"/>
              </w:rPr>
              <w:t xml:space="preserve"> ώρες σύνδ./ σχ. ημ.</w:t>
            </w:r>
          </w:p>
        </w:tc>
        <w:tc>
          <w:tcPr>
            <w:tcW w:w="1560" w:type="dxa"/>
            <w:gridSpan w:val="2"/>
            <w:tcBorders>
              <w:left w:val="single" w:sz="4" w:space="0" w:color="auto"/>
              <w:bottom w:val="single" w:sz="4" w:space="0" w:color="auto"/>
            </w:tcBorders>
            <w:shd w:val="clear" w:color="auto" w:fill="auto"/>
            <w:noWrap/>
            <w:vAlign w:val="center"/>
            <w:hideMark/>
          </w:tcPr>
          <w:p w:rsidR="002E2EC8" w:rsidRPr="001D3C2B" w:rsidRDefault="002E2EC8" w:rsidP="002E2EC8">
            <w:pPr>
              <w:jc w:val="center"/>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&lt;1-3&gt;</w:t>
            </w:r>
            <w:r w:rsidRPr="002E2EC8">
              <w:rPr>
                <w:rFonts w:ascii="Book Antiqua" w:hAnsi="Book Antiqua" w:cs="Calibri"/>
                <w:b/>
                <w:color w:val="000000"/>
                <w:sz w:val="20"/>
                <w:szCs w:val="20"/>
                <w:lang w:val="el-GR" w:eastAsia="el-GR"/>
              </w:rPr>
              <w:t xml:space="preserve"> ώρες σύνδ./σχ. ημ.</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C8" w:rsidRPr="001D3C2B" w:rsidRDefault="002E2EC8" w:rsidP="002E2EC8">
            <w:pPr>
              <w:jc w:val="center"/>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&lt;3-5&gt;</w:t>
            </w:r>
            <w:r w:rsidRPr="002E2EC8">
              <w:rPr>
                <w:rFonts w:ascii="Book Antiqua" w:hAnsi="Book Antiqua" w:cs="Calibri"/>
                <w:b/>
                <w:color w:val="000000"/>
                <w:sz w:val="20"/>
                <w:szCs w:val="20"/>
                <w:lang w:val="el-GR" w:eastAsia="el-GR"/>
              </w:rPr>
              <w:t xml:space="preserve"> ώρες σύνδ./σχ. ημ.</w:t>
            </w:r>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EC8" w:rsidRPr="001D3C2B" w:rsidRDefault="002E2EC8" w:rsidP="002E2EC8">
            <w:pPr>
              <w:jc w:val="center"/>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&lt;5 και άνω&gt;</w:t>
            </w:r>
            <w:r w:rsidRPr="002E2EC8">
              <w:rPr>
                <w:rFonts w:ascii="Book Antiqua" w:hAnsi="Book Antiqua" w:cs="Calibri"/>
                <w:b/>
                <w:color w:val="000000"/>
                <w:sz w:val="20"/>
                <w:szCs w:val="20"/>
                <w:lang w:val="el-GR" w:eastAsia="el-GR"/>
              </w:rPr>
              <w:t xml:space="preserve"> ώρες σύνδ./σχ. ημ.</w:t>
            </w:r>
          </w:p>
        </w:tc>
        <w:tc>
          <w:tcPr>
            <w:tcW w:w="1535" w:type="dxa"/>
            <w:gridSpan w:val="2"/>
            <w:tcBorders>
              <w:top w:val="single" w:sz="4" w:space="0" w:color="auto"/>
              <w:left w:val="single" w:sz="4" w:space="0" w:color="auto"/>
              <w:bottom w:val="single" w:sz="4" w:space="0" w:color="auto"/>
            </w:tcBorders>
            <w:shd w:val="clear" w:color="auto" w:fill="auto"/>
            <w:noWrap/>
            <w:vAlign w:val="center"/>
            <w:hideMark/>
          </w:tcPr>
          <w:p w:rsidR="002E2EC8" w:rsidRPr="001D3C2B" w:rsidRDefault="002E2EC8" w:rsidP="002E2EC8">
            <w:pPr>
              <w:jc w:val="center"/>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Σύνολο</w:t>
            </w:r>
          </w:p>
        </w:tc>
      </w:tr>
      <w:tr w:rsidR="006E6B46" w:rsidRPr="001D3C2B" w:rsidTr="00EA3109">
        <w:trPr>
          <w:trHeight w:val="300"/>
        </w:trPr>
        <w:tc>
          <w:tcPr>
            <w:tcW w:w="1843" w:type="dxa"/>
            <w:tcBorders>
              <w:top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 xml:space="preserve">Παραμένει ο </w:t>
            </w:r>
            <w:r w:rsidR="00D426AA">
              <w:rPr>
                <w:rFonts w:ascii="Book Antiqua" w:hAnsi="Book Antiqua" w:cs="Calibri"/>
                <w:b/>
                <w:color w:val="000000"/>
                <w:sz w:val="20"/>
                <w:szCs w:val="20"/>
                <w:lang w:val="el-GR" w:eastAsia="el-GR"/>
              </w:rPr>
              <w:t>ίδιος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24,24%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19</w:t>
            </w:r>
          </w:p>
        </w:tc>
        <w:tc>
          <w:tcPr>
            <w:tcW w:w="993"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57,58%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15,15%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3,03%</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33</w:t>
            </w:r>
          </w:p>
        </w:tc>
        <w:tc>
          <w:tcPr>
            <w:tcW w:w="992"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37,08%</w:t>
            </w:r>
          </w:p>
        </w:tc>
      </w:tr>
      <w:tr w:rsidR="006E6B46" w:rsidRPr="001D3C2B" w:rsidTr="00EA3109">
        <w:trPr>
          <w:trHeight w:val="300"/>
        </w:trPr>
        <w:tc>
          <w:tcPr>
            <w:tcW w:w="1843" w:type="dxa"/>
            <w:tcBorders>
              <w:top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Διπλασιάζεται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11,76%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24</w:t>
            </w:r>
          </w:p>
        </w:tc>
        <w:tc>
          <w:tcPr>
            <w:tcW w:w="993"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70,59%</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14,71%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2,94%</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34</w:t>
            </w:r>
          </w:p>
        </w:tc>
        <w:tc>
          <w:tcPr>
            <w:tcW w:w="992"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38,20%</w:t>
            </w:r>
          </w:p>
        </w:tc>
      </w:tr>
      <w:tr w:rsidR="006E6B46" w:rsidRPr="001D3C2B" w:rsidTr="00EA3109">
        <w:trPr>
          <w:trHeight w:val="300"/>
        </w:trPr>
        <w:tc>
          <w:tcPr>
            <w:tcW w:w="1843" w:type="dxa"/>
            <w:tcBorders>
              <w:top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Τριπλασιάζεται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14,29%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11</w:t>
            </w:r>
          </w:p>
        </w:tc>
        <w:tc>
          <w:tcPr>
            <w:tcW w:w="993"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78,57%</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7,14%</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14</w:t>
            </w:r>
          </w:p>
        </w:tc>
        <w:tc>
          <w:tcPr>
            <w:tcW w:w="992"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15,73%</w:t>
            </w:r>
          </w:p>
        </w:tc>
      </w:tr>
      <w:tr w:rsidR="006E6B46" w:rsidRPr="001D3C2B" w:rsidTr="00EA3109">
        <w:trPr>
          <w:trHeight w:val="300"/>
        </w:trPr>
        <w:tc>
          <w:tcPr>
            <w:tcW w:w="1843" w:type="dxa"/>
            <w:tcBorders>
              <w:top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Αυξάνεται ακόμη περισσότερο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12,50%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w:t>
            </w:r>
          </w:p>
        </w:tc>
        <w:tc>
          <w:tcPr>
            <w:tcW w:w="993"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12,50%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37,50%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3</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color w:val="000000"/>
                <w:lang w:val="el-GR" w:eastAsia="el-GR"/>
              </w:rPr>
            </w:pPr>
            <w:r w:rsidRPr="001D3C2B">
              <w:rPr>
                <w:rFonts w:ascii="Calibri" w:hAnsi="Calibri" w:cs="Calibri"/>
                <w:color w:val="000000"/>
                <w:sz w:val="22"/>
                <w:szCs w:val="22"/>
                <w:lang w:val="el-GR" w:eastAsia="el-GR"/>
              </w:rPr>
              <w:t>37,50%</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8</w:t>
            </w:r>
          </w:p>
        </w:tc>
        <w:tc>
          <w:tcPr>
            <w:tcW w:w="992"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8,99%</w:t>
            </w:r>
          </w:p>
        </w:tc>
      </w:tr>
      <w:tr w:rsidR="006E6B46" w:rsidRPr="00EA3109" w:rsidTr="00EA3109">
        <w:trPr>
          <w:trHeight w:val="300"/>
        </w:trPr>
        <w:tc>
          <w:tcPr>
            <w:tcW w:w="1843" w:type="dxa"/>
            <w:tcBorders>
              <w:top w:val="single" w:sz="4" w:space="0" w:color="auto"/>
              <w:right w:val="single" w:sz="4" w:space="0" w:color="auto"/>
            </w:tcBorders>
            <w:shd w:val="clear" w:color="auto" w:fill="auto"/>
            <w:noWrap/>
            <w:vAlign w:val="bottom"/>
            <w:hideMark/>
          </w:tcPr>
          <w:p w:rsidR="006E6B46" w:rsidRPr="001D3C2B" w:rsidRDefault="006E6B46" w:rsidP="00EA3109">
            <w:pPr>
              <w:jc w:val="right"/>
              <w:rPr>
                <w:rFonts w:ascii="Book Antiqua" w:hAnsi="Book Antiqua" w:cs="Calibri"/>
                <w:b/>
                <w:color w:val="000000"/>
                <w:sz w:val="20"/>
                <w:szCs w:val="20"/>
                <w:lang w:val="el-GR" w:eastAsia="el-GR"/>
              </w:rPr>
            </w:pPr>
            <w:r w:rsidRPr="001D3C2B">
              <w:rPr>
                <w:rFonts w:ascii="Book Antiqua" w:hAnsi="Book Antiqua" w:cs="Calibri"/>
                <w:b/>
                <w:color w:val="000000"/>
                <w:sz w:val="20"/>
                <w:szCs w:val="20"/>
                <w:lang w:val="el-GR" w:eastAsia="el-GR"/>
              </w:rPr>
              <w:t>Σύνολο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16,85%</w:t>
            </w:r>
          </w:p>
        </w:tc>
        <w:tc>
          <w:tcPr>
            <w:tcW w:w="567" w:type="dxa"/>
            <w:tcBorders>
              <w:top w:val="single" w:sz="4" w:space="0" w:color="auto"/>
              <w:left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55</w:t>
            </w:r>
          </w:p>
        </w:tc>
        <w:tc>
          <w:tcPr>
            <w:tcW w:w="993" w:type="dxa"/>
            <w:tcBorders>
              <w:top w:val="single" w:sz="4" w:space="0" w:color="auto"/>
              <w:lef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61,80%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6E6B46" w:rsidRPr="00EA3109"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14,61%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6</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6,74%</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89</w:t>
            </w:r>
          </w:p>
        </w:tc>
        <w:tc>
          <w:tcPr>
            <w:tcW w:w="992" w:type="dxa"/>
            <w:tcBorders>
              <w:top w:val="single" w:sz="4" w:space="0" w:color="auto"/>
              <w:left w:val="single" w:sz="4" w:space="0" w:color="auto"/>
              <w:bottom w:val="single" w:sz="4" w:space="0" w:color="auto"/>
            </w:tcBorders>
            <w:shd w:val="clear" w:color="auto" w:fill="auto"/>
            <w:noWrap/>
            <w:vAlign w:val="bottom"/>
            <w:hideMark/>
          </w:tcPr>
          <w:p w:rsidR="006E6B46" w:rsidRPr="001D3C2B" w:rsidRDefault="006E6B46" w:rsidP="001D3C2B">
            <w:pPr>
              <w:jc w:val="right"/>
              <w:rPr>
                <w:rFonts w:ascii="Calibri" w:hAnsi="Calibri" w:cs="Calibri"/>
                <w:b/>
                <w:color w:val="000000"/>
                <w:lang w:val="el-GR" w:eastAsia="el-GR"/>
              </w:rPr>
            </w:pPr>
            <w:r w:rsidRPr="001D3C2B">
              <w:rPr>
                <w:rFonts w:ascii="Calibri" w:hAnsi="Calibri" w:cs="Calibri"/>
                <w:b/>
                <w:color w:val="000000"/>
                <w:sz w:val="22"/>
                <w:szCs w:val="22"/>
                <w:lang w:val="el-GR" w:eastAsia="el-GR"/>
              </w:rPr>
              <w:t>100,00%</w:t>
            </w:r>
          </w:p>
        </w:tc>
      </w:tr>
    </w:tbl>
    <w:p w:rsidR="007E45F6" w:rsidRDefault="007E45F6" w:rsidP="009D6653">
      <w:pPr>
        <w:spacing w:before="120" w:line="288" w:lineRule="auto"/>
        <w:jc w:val="both"/>
        <w:rPr>
          <w:lang w:val="el-GR"/>
        </w:rPr>
      </w:pPr>
    </w:p>
    <w:p w:rsidR="001815DB" w:rsidRDefault="00A11781" w:rsidP="009D6653">
      <w:pPr>
        <w:spacing w:before="120" w:line="288" w:lineRule="auto"/>
        <w:jc w:val="both"/>
        <w:rPr>
          <w:lang w:val="el-GR"/>
        </w:rPr>
      </w:pPr>
      <w:r>
        <w:rPr>
          <w:noProof/>
          <w:lang w:val="el-GR" w:eastAsia="el-GR"/>
        </w:rPr>
        <w:drawing>
          <wp:anchor distT="0" distB="0" distL="114300" distR="114300" simplePos="0" relativeHeight="251676672" behindDoc="0" locked="0" layoutInCell="1" allowOverlap="1">
            <wp:simplePos x="0" y="0"/>
            <wp:positionH relativeFrom="column">
              <wp:posOffset>3810</wp:posOffset>
            </wp:positionH>
            <wp:positionV relativeFrom="paragraph">
              <wp:posOffset>385445</wp:posOffset>
            </wp:positionV>
            <wp:extent cx="6129020" cy="2562225"/>
            <wp:effectExtent l="0" t="0" r="0" b="0"/>
            <wp:wrapTopAndBottom/>
            <wp:docPr id="15"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815DB" w:rsidRDefault="00C31AD5" w:rsidP="009D6653">
      <w:pPr>
        <w:spacing w:before="120" w:line="288" w:lineRule="auto"/>
        <w:jc w:val="both"/>
        <w:rPr>
          <w:lang w:val="el-GR"/>
        </w:rPr>
      </w:pPr>
      <w:r w:rsidRPr="00C31AD5">
        <w:rPr>
          <w:b/>
          <w:lang w:val="el-GR"/>
        </w:rPr>
        <w:t>Διάγραμμα 6</w:t>
      </w:r>
      <w:r>
        <w:rPr>
          <w:lang w:val="el-GR"/>
        </w:rPr>
        <w:t>: Χρόνος σύνδεσης κατά τις αργίες και τα Σ/Κ σε συσχέτιση με τις ώρες σύνδεσης ανά σχολική ημέρα.</w:t>
      </w:r>
    </w:p>
    <w:p w:rsidR="00901D62" w:rsidRDefault="00901D62" w:rsidP="009D6653">
      <w:pPr>
        <w:spacing w:before="120" w:line="288" w:lineRule="auto"/>
        <w:jc w:val="both"/>
        <w:rPr>
          <w:lang w:val="el-GR"/>
        </w:rPr>
      </w:pPr>
      <w:r>
        <w:rPr>
          <w:lang w:val="el-GR"/>
        </w:rPr>
        <w:lastRenderedPageBreak/>
        <w:tab/>
        <w:t>Τέλος, στην ερώτηση για το πόσο από τον διαδικτυακό χρόνο οι ερωτώμενοι αφιερώνουν σε ηλεκτρονικά παιχνίδια, διαπιστώνεται ότι οι μισοί σχεδόν δεν ασχολούνται με αυτά (καθόλου, 46,07%) με μεγαλύτερο βέβαια ποσοστό να είναι αυτό των κοριτσιών για αυτή την κατηγορία μαθητών (κορίτσια 85,37%, έναντι 14,63% των αγοριών)</w:t>
      </w:r>
      <w:r w:rsidR="001B7D21">
        <w:rPr>
          <w:lang w:val="el-GR"/>
        </w:rPr>
        <w:t xml:space="preserve">. Στο σύνολο του δείγματος, ένα ποσοστό 13,48% ξεπερνά τον μισό από τον χρόνο που διαθέτει συνδεδεμένος στο διαδίκτυο σε ηλεκτρονικά παιχνίδια, ενώ το 3.37% εξ αυτού </w:t>
      </w:r>
      <w:r w:rsidR="0000562F">
        <w:rPr>
          <w:lang w:val="el-GR"/>
        </w:rPr>
        <w:t>ασχολείται αποκλειστικά με τα ηλεκτρονικά παιχνίδια κατά τον «διαδικτυακό» του χρόνο. Τα αποτελέσματα παρουσιάζονται στον πίνακα 4 και απεικονίζονται στο διάγραμμα 7 που ακολουθεί.</w:t>
      </w:r>
    </w:p>
    <w:p w:rsidR="0000562F" w:rsidRDefault="0000562F" w:rsidP="009D6653">
      <w:pPr>
        <w:spacing w:before="120" w:line="288" w:lineRule="auto"/>
        <w:jc w:val="both"/>
        <w:rPr>
          <w:lang w:val="el-GR"/>
        </w:rPr>
      </w:pPr>
    </w:p>
    <w:p w:rsidR="004859E6" w:rsidRDefault="004859E6" w:rsidP="009D6653">
      <w:pPr>
        <w:spacing w:before="120" w:line="288" w:lineRule="auto"/>
        <w:jc w:val="both"/>
        <w:rPr>
          <w:lang w:val="el-GR"/>
        </w:rPr>
      </w:pPr>
      <w:r w:rsidRPr="004859E6">
        <w:rPr>
          <w:b/>
          <w:lang w:val="el-GR"/>
        </w:rPr>
        <w:t>Πίνακας 4</w:t>
      </w:r>
      <w:r>
        <w:rPr>
          <w:lang w:val="el-GR"/>
        </w:rPr>
        <w:t xml:space="preserve">: Διαδικτυακός χρόνος σε ηλεκτρονικά παιχνίδια σε συσχέτιση με το φύλο των μαθητών. </w:t>
      </w:r>
    </w:p>
    <w:p w:rsidR="004859E6" w:rsidRDefault="004859E6" w:rsidP="009D6653">
      <w:pPr>
        <w:spacing w:before="120" w:line="288" w:lineRule="auto"/>
        <w:jc w:val="both"/>
        <w:rPr>
          <w:lang w:val="el-GR"/>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851"/>
        <w:gridCol w:w="1194"/>
        <w:gridCol w:w="790"/>
        <w:gridCol w:w="1091"/>
        <w:gridCol w:w="894"/>
        <w:gridCol w:w="1233"/>
      </w:tblGrid>
      <w:tr w:rsidR="004859E6" w:rsidRPr="004859E6" w:rsidTr="004859E6">
        <w:trPr>
          <w:trHeight w:val="300"/>
        </w:trPr>
        <w:tc>
          <w:tcPr>
            <w:tcW w:w="2977" w:type="dxa"/>
            <w:shd w:val="clear" w:color="auto" w:fill="auto"/>
            <w:noWrap/>
            <w:vAlign w:val="center"/>
            <w:hideMark/>
          </w:tcPr>
          <w:p w:rsidR="004859E6" w:rsidRPr="00901D62" w:rsidRDefault="004859E6" w:rsidP="004859E6">
            <w:pPr>
              <w:jc w:val="center"/>
              <w:rPr>
                <w:rFonts w:ascii="Book Antiqua" w:hAnsi="Book Antiqua" w:cs="Calibri"/>
                <w:b/>
                <w:color w:val="000000"/>
                <w:sz w:val="20"/>
                <w:szCs w:val="20"/>
                <w:lang w:val="el-GR" w:eastAsia="el-GR"/>
              </w:rPr>
            </w:pPr>
            <w:r w:rsidRPr="004859E6">
              <w:rPr>
                <w:rFonts w:ascii="Book Antiqua" w:hAnsi="Book Antiqua" w:cs="Calibri"/>
                <w:b/>
                <w:color w:val="000000"/>
                <w:sz w:val="20"/>
                <w:szCs w:val="20"/>
                <w:lang w:val="el-GR" w:eastAsia="el-GR"/>
              </w:rPr>
              <w:t>Διαδικτυακός χρόνος σε ηλεκτρονικά παιχνίδια</w:t>
            </w:r>
          </w:p>
        </w:tc>
        <w:tc>
          <w:tcPr>
            <w:tcW w:w="2045" w:type="dxa"/>
            <w:gridSpan w:val="2"/>
            <w:shd w:val="clear" w:color="auto" w:fill="auto"/>
            <w:noWrap/>
            <w:vAlign w:val="center"/>
            <w:hideMark/>
          </w:tcPr>
          <w:p w:rsidR="004859E6" w:rsidRPr="00901D62" w:rsidRDefault="004859E6" w:rsidP="004859E6">
            <w:pPr>
              <w:jc w:val="center"/>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Κορίτσια</w:t>
            </w:r>
          </w:p>
        </w:tc>
        <w:tc>
          <w:tcPr>
            <w:tcW w:w="1881" w:type="dxa"/>
            <w:gridSpan w:val="2"/>
            <w:shd w:val="clear" w:color="auto" w:fill="auto"/>
            <w:noWrap/>
            <w:vAlign w:val="center"/>
            <w:hideMark/>
          </w:tcPr>
          <w:p w:rsidR="004859E6" w:rsidRPr="00901D62" w:rsidRDefault="004859E6" w:rsidP="004859E6">
            <w:pPr>
              <w:jc w:val="center"/>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Αγόρια</w:t>
            </w:r>
          </w:p>
        </w:tc>
        <w:tc>
          <w:tcPr>
            <w:tcW w:w="2127" w:type="dxa"/>
            <w:gridSpan w:val="2"/>
            <w:shd w:val="clear" w:color="auto" w:fill="auto"/>
            <w:noWrap/>
            <w:vAlign w:val="center"/>
            <w:hideMark/>
          </w:tcPr>
          <w:p w:rsidR="004859E6" w:rsidRPr="00901D62" w:rsidRDefault="004859E6" w:rsidP="004859E6">
            <w:pPr>
              <w:jc w:val="center"/>
              <w:rPr>
                <w:rFonts w:ascii="Book Antiqua" w:hAnsi="Book Antiqua" w:cs="Calibri"/>
                <w:color w:val="000000"/>
                <w:sz w:val="20"/>
                <w:szCs w:val="20"/>
                <w:lang w:val="el-GR" w:eastAsia="el-GR"/>
              </w:rPr>
            </w:pPr>
            <w:r w:rsidRPr="00901D62">
              <w:rPr>
                <w:rFonts w:ascii="Book Antiqua" w:hAnsi="Book Antiqua" w:cs="Calibri"/>
                <w:b/>
                <w:color w:val="000000"/>
                <w:sz w:val="20"/>
                <w:szCs w:val="20"/>
                <w:lang w:val="el-GR" w:eastAsia="el-GR"/>
              </w:rPr>
              <w:t>Σύνολο</w:t>
            </w:r>
          </w:p>
        </w:tc>
      </w:tr>
      <w:tr w:rsidR="004859E6" w:rsidRPr="00901D62" w:rsidTr="004859E6">
        <w:trPr>
          <w:trHeight w:val="300"/>
        </w:trPr>
        <w:tc>
          <w:tcPr>
            <w:tcW w:w="2977" w:type="dxa"/>
            <w:shd w:val="clear" w:color="auto" w:fill="auto"/>
            <w:noWrap/>
            <w:vAlign w:val="bottom"/>
            <w:hideMark/>
          </w:tcPr>
          <w:p w:rsidR="00901D62" w:rsidRPr="00901D62" w:rsidRDefault="00901D62" w:rsidP="00901D62">
            <w:pPr>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 xml:space="preserve">Καθόλου </w:t>
            </w:r>
          </w:p>
        </w:tc>
        <w:tc>
          <w:tcPr>
            <w:tcW w:w="85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35</w:t>
            </w:r>
          </w:p>
        </w:tc>
        <w:tc>
          <w:tcPr>
            <w:tcW w:w="1194"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85,37%</w:t>
            </w:r>
          </w:p>
        </w:tc>
        <w:tc>
          <w:tcPr>
            <w:tcW w:w="790"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6</w:t>
            </w:r>
          </w:p>
        </w:tc>
        <w:tc>
          <w:tcPr>
            <w:tcW w:w="109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14,63%</w:t>
            </w:r>
          </w:p>
        </w:tc>
        <w:tc>
          <w:tcPr>
            <w:tcW w:w="894"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41</w:t>
            </w:r>
          </w:p>
        </w:tc>
        <w:tc>
          <w:tcPr>
            <w:tcW w:w="1233"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46,07%</w:t>
            </w:r>
          </w:p>
        </w:tc>
      </w:tr>
      <w:tr w:rsidR="004859E6" w:rsidRPr="00901D62" w:rsidTr="004859E6">
        <w:trPr>
          <w:trHeight w:val="300"/>
        </w:trPr>
        <w:tc>
          <w:tcPr>
            <w:tcW w:w="2977" w:type="dxa"/>
            <w:shd w:val="clear" w:color="auto" w:fill="auto"/>
            <w:noWrap/>
            <w:vAlign w:val="bottom"/>
            <w:hideMark/>
          </w:tcPr>
          <w:p w:rsidR="00901D62" w:rsidRPr="00901D62" w:rsidRDefault="00901D62" w:rsidP="00901D62">
            <w:pPr>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Λιγότερο από τον μισό χρόνο</w:t>
            </w:r>
          </w:p>
        </w:tc>
        <w:tc>
          <w:tcPr>
            <w:tcW w:w="85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8</w:t>
            </w:r>
          </w:p>
        </w:tc>
        <w:tc>
          <w:tcPr>
            <w:tcW w:w="1194"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36,36%</w:t>
            </w:r>
          </w:p>
        </w:tc>
        <w:tc>
          <w:tcPr>
            <w:tcW w:w="790"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14</w:t>
            </w:r>
          </w:p>
        </w:tc>
        <w:tc>
          <w:tcPr>
            <w:tcW w:w="109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63,64%</w:t>
            </w:r>
          </w:p>
        </w:tc>
        <w:tc>
          <w:tcPr>
            <w:tcW w:w="894"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22</w:t>
            </w:r>
          </w:p>
        </w:tc>
        <w:tc>
          <w:tcPr>
            <w:tcW w:w="1233"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24,72%</w:t>
            </w:r>
          </w:p>
        </w:tc>
      </w:tr>
      <w:tr w:rsidR="004859E6" w:rsidRPr="00901D62" w:rsidTr="004859E6">
        <w:trPr>
          <w:trHeight w:val="300"/>
        </w:trPr>
        <w:tc>
          <w:tcPr>
            <w:tcW w:w="2977" w:type="dxa"/>
            <w:shd w:val="clear" w:color="auto" w:fill="auto"/>
            <w:noWrap/>
            <w:vAlign w:val="bottom"/>
            <w:hideMark/>
          </w:tcPr>
          <w:p w:rsidR="00901D62" w:rsidRPr="00901D62" w:rsidRDefault="00901D62" w:rsidP="00901D62">
            <w:pPr>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Περίπου τον μισό χρόνο</w:t>
            </w:r>
          </w:p>
        </w:tc>
        <w:tc>
          <w:tcPr>
            <w:tcW w:w="85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2</w:t>
            </w:r>
          </w:p>
        </w:tc>
        <w:tc>
          <w:tcPr>
            <w:tcW w:w="1194"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14,29%</w:t>
            </w:r>
          </w:p>
        </w:tc>
        <w:tc>
          <w:tcPr>
            <w:tcW w:w="790"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12</w:t>
            </w:r>
          </w:p>
        </w:tc>
        <w:tc>
          <w:tcPr>
            <w:tcW w:w="109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85,71%</w:t>
            </w:r>
          </w:p>
        </w:tc>
        <w:tc>
          <w:tcPr>
            <w:tcW w:w="894"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14</w:t>
            </w:r>
          </w:p>
        </w:tc>
        <w:tc>
          <w:tcPr>
            <w:tcW w:w="1233"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15,73%</w:t>
            </w:r>
          </w:p>
        </w:tc>
      </w:tr>
      <w:tr w:rsidR="004859E6" w:rsidRPr="00901D62" w:rsidTr="004859E6">
        <w:trPr>
          <w:trHeight w:val="300"/>
        </w:trPr>
        <w:tc>
          <w:tcPr>
            <w:tcW w:w="2977" w:type="dxa"/>
            <w:shd w:val="clear" w:color="auto" w:fill="auto"/>
            <w:noWrap/>
            <w:vAlign w:val="bottom"/>
            <w:hideMark/>
          </w:tcPr>
          <w:p w:rsidR="00901D62" w:rsidRPr="00901D62" w:rsidRDefault="00901D62" w:rsidP="00901D62">
            <w:pPr>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Περισσότερο από τον μισό</w:t>
            </w:r>
          </w:p>
        </w:tc>
        <w:tc>
          <w:tcPr>
            <w:tcW w:w="85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1</w:t>
            </w:r>
          </w:p>
        </w:tc>
        <w:tc>
          <w:tcPr>
            <w:tcW w:w="1194"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11,11%</w:t>
            </w:r>
          </w:p>
        </w:tc>
        <w:tc>
          <w:tcPr>
            <w:tcW w:w="790"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8</w:t>
            </w:r>
          </w:p>
        </w:tc>
        <w:tc>
          <w:tcPr>
            <w:tcW w:w="109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88,89%</w:t>
            </w:r>
          </w:p>
        </w:tc>
        <w:tc>
          <w:tcPr>
            <w:tcW w:w="894"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9</w:t>
            </w:r>
          </w:p>
        </w:tc>
        <w:tc>
          <w:tcPr>
            <w:tcW w:w="1233"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10,11%</w:t>
            </w:r>
          </w:p>
        </w:tc>
      </w:tr>
      <w:tr w:rsidR="004859E6" w:rsidRPr="00901D62" w:rsidTr="004859E6">
        <w:trPr>
          <w:trHeight w:val="300"/>
        </w:trPr>
        <w:tc>
          <w:tcPr>
            <w:tcW w:w="2977" w:type="dxa"/>
            <w:shd w:val="clear" w:color="auto" w:fill="auto"/>
            <w:noWrap/>
            <w:vAlign w:val="bottom"/>
            <w:hideMark/>
          </w:tcPr>
          <w:p w:rsidR="00901D62" w:rsidRPr="00901D62" w:rsidRDefault="00901D62" w:rsidP="00901D62">
            <w:pPr>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Σχεδόν όλο</w:t>
            </w:r>
          </w:p>
        </w:tc>
        <w:tc>
          <w:tcPr>
            <w:tcW w:w="85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1</w:t>
            </w:r>
          </w:p>
        </w:tc>
        <w:tc>
          <w:tcPr>
            <w:tcW w:w="1194"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33,33%</w:t>
            </w:r>
          </w:p>
        </w:tc>
        <w:tc>
          <w:tcPr>
            <w:tcW w:w="790"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2</w:t>
            </w:r>
          </w:p>
        </w:tc>
        <w:tc>
          <w:tcPr>
            <w:tcW w:w="1091" w:type="dxa"/>
            <w:shd w:val="clear" w:color="auto" w:fill="auto"/>
            <w:noWrap/>
            <w:vAlign w:val="bottom"/>
            <w:hideMark/>
          </w:tcPr>
          <w:p w:rsidR="00901D62" w:rsidRPr="00901D62" w:rsidRDefault="00901D62" w:rsidP="00901D62">
            <w:pPr>
              <w:jc w:val="right"/>
              <w:rPr>
                <w:rFonts w:ascii="Book Antiqua" w:hAnsi="Book Antiqua" w:cs="Calibri"/>
                <w:color w:val="000000"/>
                <w:sz w:val="20"/>
                <w:szCs w:val="20"/>
                <w:lang w:val="el-GR" w:eastAsia="el-GR"/>
              </w:rPr>
            </w:pPr>
            <w:r w:rsidRPr="00901D62">
              <w:rPr>
                <w:rFonts w:ascii="Book Antiqua" w:hAnsi="Book Antiqua" w:cs="Calibri"/>
                <w:color w:val="000000"/>
                <w:sz w:val="20"/>
                <w:szCs w:val="20"/>
                <w:lang w:val="el-GR" w:eastAsia="el-GR"/>
              </w:rPr>
              <w:t>66,67%</w:t>
            </w:r>
          </w:p>
        </w:tc>
        <w:tc>
          <w:tcPr>
            <w:tcW w:w="894"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3</w:t>
            </w:r>
          </w:p>
        </w:tc>
        <w:tc>
          <w:tcPr>
            <w:tcW w:w="1233" w:type="dxa"/>
            <w:shd w:val="clear" w:color="auto" w:fill="auto"/>
            <w:noWrap/>
            <w:vAlign w:val="bottom"/>
            <w:hideMark/>
          </w:tcPr>
          <w:p w:rsidR="00901D62" w:rsidRPr="00901D62" w:rsidRDefault="00901D62" w:rsidP="00901D62">
            <w:pPr>
              <w:jc w:val="right"/>
              <w:rPr>
                <w:rFonts w:ascii="Book Antiqua" w:hAnsi="Book Antiqua" w:cs="Calibri"/>
                <w:b/>
                <w:color w:val="000000"/>
                <w:sz w:val="20"/>
                <w:szCs w:val="20"/>
                <w:lang w:val="el-GR" w:eastAsia="el-GR"/>
              </w:rPr>
            </w:pPr>
            <w:r w:rsidRPr="00901D62">
              <w:rPr>
                <w:rFonts w:ascii="Book Antiqua" w:hAnsi="Book Antiqua" w:cs="Calibri"/>
                <w:b/>
                <w:color w:val="000000"/>
                <w:sz w:val="20"/>
                <w:szCs w:val="20"/>
                <w:lang w:val="el-GR" w:eastAsia="el-GR"/>
              </w:rPr>
              <w:t>3,37%</w:t>
            </w:r>
          </w:p>
        </w:tc>
      </w:tr>
    </w:tbl>
    <w:p w:rsidR="00901D62" w:rsidRDefault="00901D62" w:rsidP="009D6653">
      <w:pPr>
        <w:spacing w:before="120" w:line="288" w:lineRule="auto"/>
        <w:jc w:val="both"/>
        <w:rPr>
          <w:lang w:val="el-GR"/>
        </w:rPr>
      </w:pPr>
    </w:p>
    <w:p w:rsidR="007E45F6" w:rsidRDefault="007E45F6" w:rsidP="009D6653">
      <w:pPr>
        <w:spacing w:before="120" w:line="288" w:lineRule="auto"/>
        <w:jc w:val="both"/>
        <w:rPr>
          <w:lang w:val="el-GR"/>
        </w:rPr>
      </w:pPr>
    </w:p>
    <w:p w:rsidR="00901D62" w:rsidRPr="00901D62" w:rsidRDefault="00B0297A" w:rsidP="009D6653">
      <w:pPr>
        <w:spacing w:before="120" w:line="288" w:lineRule="auto"/>
        <w:jc w:val="both"/>
        <w:rPr>
          <w:lang w:val="el-GR"/>
        </w:rPr>
      </w:pPr>
      <w:r>
        <w:rPr>
          <w:noProof/>
          <w:lang w:val="el-GR" w:eastAsia="en-US"/>
        </w:rPr>
        <w:pict>
          <v:shape id="_x0000_s1044" type="#_x0000_t202" style="position:absolute;left:0;text-align:left;margin-left:0;margin-top:.85pt;width:225.9pt;height:49.35pt;z-index:-251636736;mso-height-percent:200;mso-position-horizontal:center;mso-height-percent:200;mso-width-relative:margin;mso-height-relative:margin" wrapcoords="0 0" filled="f" stroked="f">
            <v:textbox style="mso-fit-shape-to-text:t">
              <w:txbxContent>
                <w:p w:rsidR="001C4041" w:rsidRPr="00A11781" w:rsidRDefault="001C4041" w:rsidP="0085315D">
                  <w:pPr>
                    <w:jc w:val="center"/>
                    <w:rPr>
                      <w:rFonts w:ascii="Book Antiqua" w:hAnsi="Book Antiqua"/>
                      <w:b/>
                      <w:lang w:val="el-GR"/>
                    </w:rPr>
                  </w:pPr>
                  <w:r w:rsidRPr="00A11781">
                    <w:rPr>
                      <w:rFonts w:ascii="Book Antiqua" w:hAnsi="Book Antiqua"/>
                      <w:b/>
                      <w:lang w:val="el-GR"/>
                    </w:rPr>
                    <w:t>Πόσο από τον διαδικτυακό χρόνο διαθέτετε σε ηλεκτρονικά παιχνίδια;</w:t>
                  </w:r>
                </w:p>
              </w:txbxContent>
            </v:textbox>
            <w10:wrap type="tight"/>
          </v:shape>
        </w:pict>
      </w:r>
    </w:p>
    <w:p w:rsidR="00FF00A7" w:rsidRDefault="00701FCA" w:rsidP="009D6653">
      <w:pPr>
        <w:spacing w:before="120" w:line="288" w:lineRule="auto"/>
        <w:jc w:val="both"/>
        <w:rPr>
          <w:b/>
          <w:lang w:val="el-GR"/>
        </w:rPr>
      </w:pPr>
      <w:r>
        <w:rPr>
          <w:noProof/>
          <w:lang w:val="el-GR" w:eastAsia="el-GR"/>
        </w:rPr>
        <w:drawing>
          <wp:anchor distT="0" distB="0" distL="114300" distR="114300" simplePos="0" relativeHeight="251677696" behindDoc="0" locked="0" layoutInCell="1" allowOverlap="1">
            <wp:simplePos x="0" y="0"/>
            <wp:positionH relativeFrom="margin">
              <wp:posOffset>345440</wp:posOffset>
            </wp:positionH>
            <wp:positionV relativeFrom="paragraph">
              <wp:posOffset>313690</wp:posOffset>
            </wp:positionV>
            <wp:extent cx="5486400" cy="2562225"/>
            <wp:effectExtent l="0" t="0" r="0" b="0"/>
            <wp:wrapTopAndBottom/>
            <wp:docPr id="16"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0297A" w:rsidRPr="00B0297A">
        <w:rPr>
          <w:noProof/>
          <w:lang w:val="el-GR" w:eastAsia="el-GR"/>
        </w:rPr>
        <w:pict>
          <v:group id="_x0000_s1050" style="position:absolute;left:0;text-align:left;margin-left:56.05pt;margin-top:26.2pt;width:349.05pt;height:155.85pt;z-index:251685888;mso-position-horizontal-relative:text;mso-position-vertical-relative:text" coordorigin="2320,12770" coordsize="6981,3117">
            <v:shape id="_x0000_s1045" type="#_x0000_t202" style="position:absolute;left:2320;top:12770;width:1434;height:385;mso-height-percent:200;mso-height-percent:200;mso-width-relative:margin;mso-height-relative:margin" wrapcoords="0 0" filled="f" stroked="f">
              <v:textbox style="mso-next-textbox:#_x0000_s1045;mso-fit-shape-to-text:t">
                <w:txbxContent>
                  <w:p w:rsidR="001C4041" w:rsidRPr="00D418A4" w:rsidRDefault="001C4041" w:rsidP="00D418A4">
                    <w:pPr>
                      <w:jc w:val="center"/>
                      <w:rPr>
                        <w:rFonts w:ascii="Book Antiqua" w:hAnsi="Book Antiqua"/>
                        <w:b/>
                        <w:sz w:val="20"/>
                        <w:szCs w:val="20"/>
                        <w:lang w:val="el-GR"/>
                      </w:rPr>
                    </w:pPr>
                    <w:r w:rsidRPr="00D418A4">
                      <w:rPr>
                        <w:rFonts w:ascii="Book Antiqua" w:hAnsi="Book Antiqua"/>
                        <w:b/>
                        <w:sz w:val="20"/>
                        <w:szCs w:val="20"/>
                        <w:lang w:val="el-GR"/>
                      </w:rPr>
                      <w:t>46,07%</w:t>
                    </w:r>
                  </w:p>
                </w:txbxContent>
              </v:textbox>
            </v:shape>
            <v:shape id="_x0000_s1046" type="#_x0000_t202" style="position:absolute;left:3663;top:14087;width:1434;height:385;mso-height-percent:200;mso-height-percent:200;mso-width-relative:margin;mso-height-relative:margin" wrapcoords="0 0" filled="f" stroked="f">
              <v:textbox style="mso-next-textbox:#_x0000_s1046;mso-fit-shape-to-text:t">
                <w:txbxContent>
                  <w:p w:rsidR="001C4041" w:rsidRPr="00D418A4" w:rsidRDefault="001C4041" w:rsidP="00D418A4">
                    <w:pPr>
                      <w:jc w:val="center"/>
                      <w:rPr>
                        <w:rFonts w:ascii="Book Antiqua" w:hAnsi="Book Antiqua"/>
                        <w:b/>
                        <w:sz w:val="20"/>
                        <w:szCs w:val="20"/>
                        <w:lang w:val="el-GR"/>
                      </w:rPr>
                    </w:pPr>
                    <w:r>
                      <w:rPr>
                        <w:rFonts w:ascii="Book Antiqua" w:hAnsi="Book Antiqua"/>
                        <w:b/>
                        <w:sz w:val="20"/>
                        <w:szCs w:val="20"/>
                        <w:lang w:val="el-GR"/>
                      </w:rPr>
                      <w:t>24,</w:t>
                    </w:r>
                    <w:r w:rsidRPr="00D418A4">
                      <w:rPr>
                        <w:rFonts w:ascii="Book Antiqua" w:hAnsi="Book Antiqua"/>
                        <w:b/>
                        <w:sz w:val="20"/>
                        <w:szCs w:val="20"/>
                        <w:lang w:val="el-GR"/>
                      </w:rPr>
                      <w:t>7</w:t>
                    </w:r>
                    <w:r>
                      <w:rPr>
                        <w:rFonts w:ascii="Book Antiqua" w:hAnsi="Book Antiqua"/>
                        <w:b/>
                        <w:sz w:val="20"/>
                        <w:szCs w:val="20"/>
                        <w:lang w:val="el-GR"/>
                      </w:rPr>
                      <w:t>2</w:t>
                    </w:r>
                    <w:r w:rsidRPr="00D418A4">
                      <w:rPr>
                        <w:rFonts w:ascii="Book Antiqua" w:hAnsi="Book Antiqua"/>
                        <w:b/>
                        <w:sz w:val="20"/>
                        <w:szCs w:val="20"/>
                        <w:lang w:val="el-GR"/>
                      </w:rPr>
                      <w:t>%</w:t>
                    </w:r>
                  </w:p>
                </w:txbxContent>
              </v:textbox>
            </v:shape>
            <v:shape id="_x0000_s1047" type="#_x0000_t202" style="position:absolute;left:4996;top:14716;width:1434;height:385;mso-height-percent:200;mso-height-percent:200;mso-width-relative:margin;mso-height-relative:margin" wrapcoords="0 0" filled="f" stroked="f">
              <v:textbox style="mso-next-textbox:#_x0000_s1047;mso-fit-shape-to-text:t">
                <w:txbxContent>
                  <w:p w:rsidR="001C4041" w:rsidRPr="00D418A4" w:rsidRDefault="001C4041" w:rsidP="00D418A4">
                    <w:pPr>
                      <w:jc w:val="center"/>
                      <w:rPr>
                        <w:rFonts w:ascii="Book Antiqua" w:hAnsi="Book Antiqua"/>
                        <w:b/>
                        <w:sz w:val="20"/>
                        <w:szCs w:val="20"/>
                        <w:lang w:val="el-GR"/>
                      </w:rPr>
                    </w:pPr>
                    <w:r>
                      <w:rPr>
                        <w:rFonts w:ascii="Book Antiqua" w:hAnsi="Book Antiqua"/>
                        <w:b/>
                        <w:sz w:val="20"/>
                        <w:szCs w:val="20"/>
                        <w:lang w:val="el-GR"/>
                      </w:rPr>
                      <w:t>15</w:t>
                    </w:r>
                    <w:r w:rsidRPr="00D418A4">
                      <w:rPr>
                        <w:rFonts w:ascii="Book Antiqua" w:hAnsi="Book Antiqua"/>
                        <w:b/>
                        <w:sz w:val="20"/>
                        <w:szCs w:val="20"/>
                        <w:lang w:val="el-GR"/>
                      </w:rPr>
                      <w:t>,7</w:t>
                    </w:r>
                    <w:r>
                      <w:rPr>
                        <w:rFonts w:ascii="Book Antiqua" w:hAnsi="Book Antiqua"/>
                        <w:b/>
                        <w:sz w:val="20"/>
                        <w:szCs w:val="20"/>
                        <w:lang w:val="el-GR"/>
                      </w:rPr>
                      <w:t>3</w:t>
                    </w:r>
                    <w:r w:rsidRPr="00D418A4">
                      <w:rPr>
                        <w:rFonts w:ascii="Book Antiqua" w:hAnsi="Book Antiqua"/>
                        <w:b/>
                        <w:sz w:val="20"/>
                        <w:szCs w:val="20"/>
                        <w:lang w:val="el-GR"/>
                      </w:rPr>
                      <w:t>%</w:t>
                    </w:r>
                  </w:p>
                </w:txbxContent>
              </v:textbox>
            </v:shape>
            <v:shape id="_x0000_s1048" type="#_x0000_t202" style="position:absolute;left:6430;top:15018;width:1434;height:385;mso-height-percent:200;mso-height-percent:200;mso-width-relative:margin;mso-height-relative:margin" wrapcoords="0 0" filled="f" stroked="f">
              <v:textbox style="mso-next-textbox:#_x0000_s1048;mso-fit-shape-to-text:t">
                <w:txbxContent>
                  <w:p w:rsidR="001C4041" w:rsidRPr="00D418A4" w:rsidRDefault="001C4041" w:rsidP="00D418A4">
                    <w:pPr>
                      <w:jc w:val="center"/>
                      <w:rPr>
                        <w:rFonts w:ascii="Book Antiqua" w:hAnsi="Book Antiqua"/>
                        <w:b/>
                        <w:sz w:val="20"/>
                        <w:szCs w:val="20"/>
                        <w:lang w:val="el-GR"/>
                      </w:rPr>
                    </w:pPr>
                    <w:r>
                      <w:rPr>
                        <w:rFonts w:ascii="Book Antiqua" w:hAnsi="Book Antiqua"/>
                        <w:b/>
                        <w:sz w:val="20"/>
                        <w:szCs w:val="20"/>
                        <w:lang w:val="el-GR"/>
                      </w:rPr>
                      <w:t>10</w:t>
                    </w:r>
                    <w:r w:rsidRPr="00D418A4">
                      <w:rPr>
                        <w:rFonts w:ascii="Book Antiqua" w:hAnsi="Book Antiqua"/>
                        <w:b/>
                        <w:sz w:val="20"/>
                        <w:szCs w:val="20"/>
                        <w:lang w:val="el-GR"/>
                      </w:rPr>
                      <w:t>,</w:t>
                    </w:r>
                    <w:r>
                      <w:rPr>
                        <w:rFonts w:ascii="Book Antiqua" w:hAnsi="Book Antiqua"/>
                        <w:b/>
                        <w:sz w:val="20"/>
                        <w:szCs w:val="20"/>
                        <w:lang w:val="el-GR"/>
                      </w:rPr>
                      <w:t>11</w:t>
                    </w:r>
                    <w:r w:rsidRPr="00D418A4">
                      <w:rPr>
                        <w:rFonts w:ascii="Book Antiqua" w:hAnsi="Book Antiqua"/>
                        <w:b/>
                        <w:sz w:val="20"/>
                        <w:szCs w:val="20"/>
                        <w:lang w:val="el-GR"/>
                      </w:rPr>
                      <w:t>%</w:t>
                    </w:r>
                  </w:p>
                </w:txbxContent>
              </v:textbox>
            </v:shape>
            <v:shape id="_x0000_s1049" type="#_x0000_t202" style="position:absolute;left:7867;top:15502;width:1434;height:385;mso-height-percent:200;mso-height-percent:200;mso-width-relative:margin;mso-height-relative:margin" wrapcoords="0 0" filled="f" stroked="f">
              <v:textbox style="mso-next-textbox:#_x0000_s1049;mso-fit-shape-to-text:t">
                <w:txbxContent>
                  <w:p w:rsidR="001C4041" w:rsidRPr="00D418A4" w:rsidRDefault="001C4041" w:rsidP="00BA167C">
                    <w:pPr>
                      <w:jc w:val="center"/>
                      <w:rPr>
                        <w:rFonts w:ascii="Book Antiqua" w:hAnsi="Book Antiqua"/>
                        <w:b/>
                        <w:sz w:val="20"/>
                        <w:szCs w:val="20"/>
                        <w:lang w:val="el-GR"/>
                      </w:rPr>
                    </w:pPr>
                    <w:r>
                      <w:rPr>
                        <w:rFonts w:ascii="Book Antiqua" w:hAnsi="Book Antiqua"/>
                        <w:b/>
                        <w:sz w:val="20"/>
                        <w:szCs w:val="20"/>
                        <w:lang w:val="el-GR"/>
                      </w:rPr>
                      <w:t>3,37%</w:t>
                    </w:r>
                  </w:p>
                </w:txbxContent>
              </v:textbox>
            </v:shape>
          </v:group>
        </w:pict>
      </w:r>
    </w:p>
    <w:p w:rsidR="007E45F6" w:rsidRDefault="007E45F6" w:rsidP="009D6653">
      <w:pPr>
        <w:spacing w:before="120" w:line="288" w:lineRule="auto"/>
        <w:jc w:val="both"/>
        <w:rPr>
          <w:b/>
          <w:lang w:val="el-GR"/>
        </w:rPr>
      </w:pPr>
    </w:p>
    <w:p w:rsidR="00483298" w:rsidRDefault="0085315D" w:rsidP="009D6653">
      <w:pPr>
        <w:spacing w:before="120" w:line="288" w:lineRule="auto"/>
        <w:jc w:val="both"/>
        <w:rPr>
          <w:lang w:val="el-GR"/>
        </w:rPr>
      </w:pPr>
      <w:r w:rsidRPr="0085315D">
        <w:rPr>
          <w:b/>
          <w:lang w:val="el-GR"/>
        </w:rPr>
        <w:t>Διάγραμμα 7</w:t>
      </w:r>
      <w:r>
        <w:rPr>
          <w:lang w:val="el-GR"/>
        </w:rPr>
        <w:t>: Διαδικτυακός χρόνος που αφιερώνουν οι μαθητές σε ηλεκτρονικά παιχνίδια με βάση και το φύλο τους.</w:t>
      </w:r>
    </w:p>
    <w:p w:rsidR="00483298" w:rsidRDefault="00483298" w:rsidP="009D6653">
      <w:pPr>
        <w:spacing w:before="120" w:line="288" w:lineRule="auto"/>
        <w:jc w:val="both"/>
        <w:rPr>
          <w:lang w:val="el-GR"/>
        </w:rPr>
      </w:pPr>
    </w:p>
    <w:p w:rsidR="00FF00A7" w:rsidRDefault="00FF00A7" w:rsidP="00FF00A7">
      <w:pPr>
        <w:numPr>
          <w:ilvl w:val="2"/>
          <w:numId w:val="2"/>
        </w:numPr>
        <w:spacing w:before="120" w:line="288" w:lineRule="auto"/>
        <w:jc w:val="both"/>
        <w:rPr>
          <w:bCs/>
          <w:sz w:val="22"/>
          <w:lang w:val="el-GR"/>
        </w:rPr>
      </w:pPr>
      <w:proofErr w:type="spellStart"/>
      <w:r>
        <w:rPr>
          <w:bCs/>
          <w:sz w:val="22"/>
          <w:lang w:val="en-US"/>
        </w:rPr>
        <w:lastRenderedPageBreak/>
        <w:t>e</w:t>
      </w:r>
      <w:r w:rsidRPr="00FF00A7">
        <w:rPr>
          <w:bCs/>
          <w:sz w:val="22"/>
          <w:lang w:val="en-US"/>
        </w:rPr>
        <w:t>S</w:t>
      </w:r>
      <w:r>
        <w:rPr>
          <w:bCs/>
          <w:sz w:val="22"/>
          <w:lang w:val="en-US"/>
        </w:rPr>
        <w:t>PORTs</w:t>
      </w:r>
      <w:proofErr w:type="spellEnd"/>
      <w:r w:rsidRPr="00FF00A7">
        <w:rPr>
          <w:bCs/>
          <w:sz w:val="22"/>
          <w:lang w:val="el-GR"/>
        </w:rPr>
        <w:t>: Ε</w:t>
      </w:r>
      <w:r>
        <w:rPr>
          <w:bCs/>
          <w:sz w:val="22"/>
          <w:lang w:val="el-GR"/>
        </w:rPr>
        <w:t>ΝΑΣΧΟΛΗΣΗ</w:t>
      </w:r>
      <w:r w:rsidR="00D246F0">
        <w:rPr>
          <w:bCs/>
          <w:sz w:val="22"/>
          <w:lang w:val="el-GR"/>
        </w:rPr>
        <w:t xml:space="preserve"> </w:t>
      </w:r>
      <w:r w:rsidRPr="00FF00A7">
        <w:rPr>
          <w:bCs/>
          <w:sz w:val="22"/>
          <w:lang w:val="el-GR"/>
        </w:rPr>
        <w:t>-</w:t>
      </w:r>
      <w:r w:rsidR="00D246F0">
        <w:rPr>
          <w:bCs/>
          <w:sz w:val="22"/>
          <w:lang w:val="el-GR"/>
        </w:rPr>
        <w:t xml:space="preserve"> </w:t>
      </w:r>
      <w:r w:rsidRPr="00FF00A7">
        <w:rPr>
          <w:bCs/>
          <w:sz w:val="22"/>
          <w:lang w:val="el-GR"/>
        </w:rPr>
        <w:t>Ε</w:t>
      </w:r>
      <w:r>
        <w:rPr>
          <w:bCs/>
          <w:sz w:val="22"/>
          <w:lang w:val="el-GR"/>
        </w:rPr>
        <w:t>ΞΟΙΚΕΙΩΣΗ</w:t>
      </w:r>
    </w:p>
    <w:p w:rsidR="00BA5919" w:rsidRDefault="001C4041" w:rsidP="009D6653">
      <w:pPr>
        <w:spacing w:before="120" w:line="288" w:lineRule="auto"/>
        <w:jc w:val="both"/>
        <w:rPr>
          <w:lang w:val="el-GR"/>
        </w:rPr>
      </w:pPr>
      <w:r>
        <w:rPr>
          <w:lang w:val="el-GR"/>
        </w:rPr>
        <w:tab/>
        <w:t xml:space="preserve">Στο θεματικό αυτό πεδίο, η έρευνα εστίασε στα </w:t>
      </w:r>
      <w:proofErr w:type="spellStart"/>
      <w:r>
        <w:rPr>
          <w:lang w:val="en-US"/>
        </w:rPr>
        <w:t>eSport</w:t>
      </w:r>
      <w:proofErr w:type="spellEnd"/>
      <w:r>
        <w:rPr>
          <w:lang w:val="de-AT"/>
        </w:rPr>
        <w:t>s</w:t>
      </w:r>
      <w:r>
        <w:rPr>
          <w:lang w:val="el-GR"/>
        </w:rPr>
        <w:t xml:space="preserve">. Καταγράφηκε ο αριθμός των ερωτώμενων που έχουν παρακολουθήσει διαδικτυακά κάποιο τουρνουά και το επίπεδο αυτού (τοπικό, πανελλήνιο, παγκόσμιο ή άλλο). Σχεδόν ένας στους τρεις (32,58% του συνόλου) έχουν παρακολουθήσει διαδικτυακά τουρνουά </w:t>
      </w:r>
      <w:proofErr w:type="spellStart"/>
      <w:r>
        <w:rPr>
          <w:lang w:val="en-US"/>
        </w:rPr>
        <w:t>eSports</w:t>
      </w:r>
      <w:proofErr w:type="spellEnd"/>
      <w:r w:rsidRPr="001C4041">
        <w:rPr>
          <w:lang w:val="el-GR"/>
        </w:rPr>
        <w:t xml:space="preserve"> </w:t>
      </w:r>
      <w:r>
        <w:rPr>
          <w:lang w:val="el-GR"/>
        </w:rPr>
        <w:t>το οποίο κατά το πλείστον ήταν σε παγκόσμιο επίπεδο</w:t>
      </w:r>
      <w:r w:rsidR="00BA5919">
        <w:rPr>
          <w:lang w:val="el-GR"/>
        </w:rPr>
        <w:t>, ενώ στους έξι μαθητές που το έκαναν μόλις ένα ήταν κορίτσι.</w:t>
      </w:r>
    </w:p>
    <w:p w:rsidR="00483298" w:rsidRPr="001C4041" w:rsidRDefault="00BA5919" w:rsidP="009D6653">
      <w:pPr>
        <w:spacing w:before="120" w:line="288" w:lineRule="auto"/>
        <w:jc w:val="both"/>
        <w:rPr>
          <w:lang w:val="el-GR"/>
        </w:rPr>
      </w:pPr>
      <w:r>
        <w:rPr>
          <w:lang w:val="el-GR"/>
        </w:rPr>
        <w:tab/>
        <w:t xml:space="preserve">Διαπιστώθηκε ότι το 21,35% των μαθητών (19 μαθητές) έχουν </w:t>
      </w:r>
      <w:r w:rsidR="003A1998">
        <w:rPr>
          <w:lang w:val="el-GR"/>
        </w:rPr>
        <w:t>παρακολουθήσει από κοντά κυρίως τοπικά τουρνουά, ενώ 13 από αυτούς έχουν συμμετάσχει σε κάποια από αυτά (μία εκ των οποίων ήταν κορίτσι).</w:t>
      </w:r>
      <w:r w:rsidR="001C4041">
        <w:rPr>
          <w:lang w:val="el-GR"/>
        </w:rPr>
        <w:t xml:space="preserve"> </w:t>
      </w:r>
    </w:p>
    <w:p w:rsidR="00483298" w:rsidRDefault="00FA07A8" w:rsidP="009D6653">
      <w:pPr>
        <w:spacing w:before="120" w:line="288" w:lineRule="auto"/>
        <w:jc w:val="both"/>
        <w:rPr>
          <w:lang w:val="el-GR"/>
        </w:rPr>
      </w:pPr>
      <w:r>
        <w:rPr>
          <w:lang w:val="el-GR"/>
        </w:rPr>
        <w:tab/>
      </w:r>
      <w:r w:rsidR="00785A2D">
        <w:rPr>
          <w:lang w:val="el-GR"/>
        </w:rPr>
        <w:t xml:space="preserve">Οι μαθητές κλήθηκαν να εκφράσουν την άποψή τους για το αν τα </w:t>
      </w:r>
      <w:proofErr w:type="spellStart"/>
      <w:r w:rsidR="00785A2D">
        <w:rPr>
          <w:lang w:val="en-US"/>
        </w:rPr>
        <w:t>eSports</w:t>
      </w:r>
      <w:proofErr w:type="spellEnd"/>
      <w:r w:rsidR="00785A2D">
        <w:rPr>
          <w:lang w:val="el-GR"/>
        </w:rPr>
        <w:t xml:space="preserve"> μπορούν να αποτελέσουν επίσημο άθλημα Ολυμπιακών Αγώνων. Οι επιλογ</w:t>
      </w:r>
      <w:r w:rsidR="00EC04C6">
        <w:rPr>
          <w:lang w:val="el-GR"/>
        </w:rPr>
        <w:t>ές</w:t>
      </w:r>
      <w:r w:rsidR="00785A2D">
        <w:rPr>
          <w:lang w:val="el-GR"/>
        </w:rPr>
        <w:t xml:space="preserve"> τους ήταν διαβαθμισμέν</w:t>
      </w:r>
      <w:r w:rsidR="00EC04C6">
        <w:rPr>
          <w:lang w:val="el-GR"/>
        </w:rPr>
        <w:t>ες μεταξύ θέσης και άρνησης, ενώ δινόταν και η επιλογή &lt;δεν γνωρίζω&gt;. Η τελευταία συγκέντρωσε αρκετά υψηλό ποσοστό 21,35%, το δεύτερο κατά σειρά μετά το &lt;ΟΧΙ&gt; , την καθαρή αρνητική άποψη που έφερε ποσοστό 31,46%.</w:t>
      </w:r>
      <w:r w:rsidR="00F36967">
        <w:rPr>
          <w:lang w:val="el-GR"/>
        </w:rPr>
        <w:t xml:space="preserve"> Η απόλυτη επιλογή του &lt;ΝΑΙ&gt; έγινε από το 12,36% των ερωτώμενων (βλ. διάγραμμα 8).</w:t>
      </w:r>
    </w:p>
    <w:p w:rsidR="00F36967" w:rsidRDefault="00F36967" w:rsidP="009D6653">
      <w:pPr>
        <w:spacing w:before="120" w:line="288" w:lineRule="auto"/>
        <w:jc w:val="both"/>
        <w:rPr>
          <w:lang w:val="el-GR"/>
        </w:rPr>
      </w:pPr>
    </w:p>
    <w:p w:rsidR="00A11781" w:rsidRPr="00A11781" w:rsidRDefault="00A11781" w:rsidP="009D6653">
      <w:pPr>
        <w:spacing w:before="120" w:line="288" w:lineRule="auto"/>
        <w:jc w:val="both"/>
        <w:rPr>
          <w:lang w:val="el-GR"/>
        </w:rPr>
      </w:pPr>
      <w:r w:rsidRPr="00A11781">
        <w:rPr>
          <w:b/>
          <w:noProof/>
          <w:lang w:val="el-GR" w:eastAsia="el-GR"/>
        </w:rPr>
        <w:drawing>
          <wp:anchor distT="0" distB="0" distL="114300" distR="114300" simplePos="0" relativeHeight="251687936" behindDoc="0" locked="0" layoutInCell="1" allowOverlap="1">
            <wp:simplePos x="0" y="0"/>
            <wp:positionH relativeFrom="margin">
              <wp:align>center</wp:align>
            </wp:positionH>
            <wp:positionV relativeFrom="paragraph">
              <wp:posOffset>80645</wp:posOffset>
            </wp:positionV>
            <wp:extent cx="4572000" cy="2743200"/>
            <wp:effectExtent l="0" t="0" r="0" b="0"/>
            <wp:wrapTopAndBottom/>
            <wp:docPr id="18"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A11781">
        <w:rPr>
          <w:b/>
          <w:lang w:val="el-GR"/>
        </w:rPr>
        <w:t>Διάγραμμα 8</w:t>
      </w:r>
      <w:r>
        <w:rPr>
          <w:lang w:val="el-GR"/>
        </w:rPr>
        <w:t xml:space="preserve">: Οι απόψεις των μαθητών για το αν τα </w:t>
      </w:r>
      <w:proofErr w:type="spellStart"/>
      <w:r>
        <w:rPr>
          <w:lang w:val="en-US"/>
        </w:rPr>
        <w:t>eSports</w:t>
      </w:r>
      <w:proofErr w:type="spellEnd"/>
      <w:r w:rsidRPr="00A11781">
        <w:rPr>
          <w:lang w:val="el-GR"/>
        </w:rPr>
        <w:t xml:space="preserve"> </w:t>
      </w:r>
      <w:r>
        <w:rPr>
          <w:lang w:val="el-GR"/>
        </w:rPr>
        <w:t>θα μπορούσαν να θεωρηθούν επίσημο άθλημα Ολυμπιακών Αγώνων.</w:t>
      </w:r>
    </w:p>
    <w:p w:rsidR="00F36967" w:rsidRDefault="00F36967" w:rsidP="009D6653">
      <w:pPr>
        <w:spacing w:before="120" w:line="288" w:lineRule="auto"/>
        <w:jc w:val="both"/>
        <w:rPr>
          <w:lang w:val="el-GR"/>
        </w:rPr>
      </w:pPr>
    </w:p>
    <w:p w:rsidR="00483298" w:rsidRPr="00867FFD" w:rsidRDefault="000E2358" w:rsidP="009D6653">
      <w:pPr>
        <w:spacing w:before="120" w:line="288" w:lineRule="auto"/>
        <w:jc w:val="both"/>
        <w:rPr>
          <w:lang w:val="el-GR"/>
        </w:rPr>
      </w:pPr>
      <w:r>
        <w:rPr>
          <w:lang w:val="el-GR"/>
        </w:rPr>
        <w:tab/>
        <w:t xml:space="preserve">Η έρευνα </w:t>
      </w:r>
      <w:r w:rsidR="003A1998">
        <w:rPr>
          <w:lang w:val="el-GR"/>
        </w:rPr>
        <w:t xml:space="preserve">ολοκληρώνεται </w:t>
      </w:r>
      <w:r>
        <w:rPr>
          <w:lang w:val="el-GR"/>
        </w:rPr>
        <w:t xml:space="preserve">καλώντας τους </w:t>
      </w:r>
      <w:r w:rsidR="003A1998">
        <w:rPr>
          <w:lang w:val="el-GR"/>
        </w:rPr>
        <w:t>μαθητές</w:t>
      </w:r>
      <w:r>
        <w:rPr>
          <w:lang w:val="el-GR"/>
        </w:rPr>
        <w:t xml:space="preserve"> να απαντήσουν αν θα τους ενδιέφερε να ενημερωθούν περαιτέρω για το θέμα των </w:t>
      </w:r>
      <w:proofErr w:type="spellStart"/>
      <w:r>
        <w:rPr>
          <w:lang w:val="en-US"/>
        </w:rPr>
        <w:t>eSports</w:t>
      </w:r>
      <w:proofErr w:type="spellEnd"/>
      <w:r>
        <w:rPr>
          <w:lang w:val="el-GR"/>
        </w:rPr>
        <w:t>. Οι περισσότεροι επιθυμούν μία επιπλέον ενημέρωση, σχεδόν 2 στους 3</w:t>
      </w:r>
      <w:r w:rsidR="00867FFD" w:rsidRPr="00867FFD">
        <w:rPr>
          <w:lang w:val="el-GR"/>
        </w:rPr>
        <w:t xml:space="preserve"> </w:t>
      </w:r>
      <w:r w:rsidR="00867FFD">
        <w:rPr>
          <w:lang w:val="el-GR"/>
        </w:rPr>
        <w:t>απάντησαν θετικά</w:t>
      </w:r>
      <w:r>
        <w:rPr>
          <w:lang w:val="el-GR"/>
        </w:rPr>
        <w:t xml:space="preserve"> (ποσοστό 65,17% επί του συνόλου του δείγματος)</w:t>
      </w:r>
      <w:r w:rsidR="00867FFD">
        <w:rPr>
          <w:lang w:val="el-GR"/>
        </w:rPr>
        <w:t>, ενώ το ενδιαφέρον προέρχεται τόσο από αγόρια όσο και από κορίτσια (51,72% έναντι 48,27%, αντίστοιχα)</w:t>
      </w:r>
      <w:r w:rsidR="00867FFD" w:rsidRPr="00867FFD">
        <w:rPr>
          <w:lang w:val="el-GR"/>
        </w:rPr>
        <w:t>.</w:t>
      </w:r>
      <w:r w:rsidR="00867FFD">
        <w:rPr>
          <w:lang w:val="el-GR"/>
        </w:rPr>
        <w:t xml:space="preserve"> [Βλ. διάγραμμα </w:t>
      </w:r>
      <w:r w:rsidR="00FA07A8">
        <w:rPr>
          <w:lang w:val="el-GR"/>
        </w:rPr>
        <w:t>9]</w:t>
      </w:r>
    </w:p>
    <w:p w:rsidR="00867FFD" w:rsidRPr="00867FFD" w:rsidRDefault="00867FFD" w:rsidP="009D6653">
      <w:pPr>
        <w:spacing w:before="120" w:line="288" w:lineRule="auto"/>
        <w:jc w:val="both"/>
        <w:rPr>
          <w:lang w:val="el-GR"/>
        </w:rPr>
      </w:pPr>
    </w:p>
    <w:p w:rsidR="00483298" w:rsidRPr="00FA07A8" w:rsidRDefault="000E2358" w:rsidP="009D6653">
      <w:pPr>
        <w:spacing w:before="120" w:line="288" w:lineRule="auto"/>
        <w:jc w:val="both"/>
        <w:rPr>
          <w:lang w:val="el-GR"/>
        </w:rPr>
      </w:pPr>
      <w:r w:rsidRPr="00FA07A8">
        <w:rPr>
          <w:b/>
          <w:noProof/>
          <w:lang w:val="el-GR" w:eastAsia="el-GR"/>
        </w:rPr>
        <w:lastRenderedPageBreak/>
        <w:drawing>
          <wp:anchor distT="0" distB="0" distL="114300" distR="114300" simplePos="0" relativeHeight="251686912" behindDoc="0" locked="0" layoutInCell="1" allowOverlap="1">
            <wp:simplePos x="0" y="0"/>
            <wp:positionH relativeFrom="margin">
              <wp:align>center</wp:align>
            </wp:positionH>
            <wp:positionV relativeFrom="paragraph">
              <wp:posOffset>78154</wp:posOffset>
            </wp:positionV>
            <wp:extent cx="3840040" cy="2250831"/>
            <wp:effectExtent l="0" t="0" r="0" b="0"/>
            <wp:wrapTopAndBottom/>
            <wp:docPr id="17"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A07A8" w:rsidRPr="00FA07A8">
        <w:rPr>
          <w:b/>
          <w:lang w:val="el-GR"/>
        </w:rPr>
        <w:t>Διάγραμμα 9</w:t>
      </w:r>
      <w:r w:rsidR="00FA07A8">
        <w:rPr>
          <w:lang w:val="el-GR"/>
        </w:rPr>
        <w:t xml:space="preserve">: Ποσοστό μαθητών που θα επιθυμούσαν περισσότερη ενημέρωση σχετικά με τα  </w:t>
      </w:r>
      <w:proofErr w:type="spellStart"/>
      <w:r w:rsidR="00FA07A8">
        <w:rPr>
          <w:lang w:val="en-US"/>
        </w:rPr>
        <w:t>eSports</w:t>
      </w:r>
      <w:proofErr w:type="spellEnd"/>
      <w:r w:rsidR="00FA07A8" w:rsidRPr="00FA07A8">
        <w:rPr>
          <w:lang w:val="el-GR"/>
        </w:rPr>
        <w:t>.</w:t>
      </w:r>
    </w:p>
    <w:p w:rsidR="00483298" w:rsidRDefault="00483298" w:rsidP="009D6653">
      <w:pPr>
        <w:spacing w:before="120" w:line="288" w:lineRule="auto"/>
        <w:jc w:val="both"/>
        <w:rPr>
          <w:lang w:val="el-GR"/>
        </w:rPr>
      </w:pPr>
    </w:p>
    <w:sectPr w:rsidR="00483298" w:rsidSect="00262971">
      <w:footerReference w:type="default" r:id="rId18"/>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AA" w:rsidRDefault="005A63AA" w:rsidP="009D6653">
      <w:r>
        <w:separator/>
      </w:r>
    </w:p>
  </w:endnote>
  <w:endnote w:type="continuationSeparator" w:id="0">
    <w:p w:rsidR="005A63AA" w:rsidRDefault="005A63AA" w:rsidP="009D6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Bembo">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902433"/>
      <w:docPartObj>
        <w:docPartGallery w:val="Page Numbers (Bottom of Page)"/>
        <w:docPartUnique/>
      </w:docPartObj>
    </w:sdtPr>
    <w:sdtContent>
      <w:p w:rsidR="001C4041" w:rsidRDefault="001C4041">
        <w:pPr>
          <w:pStyle w:val="Footer"/>
          <w:jc w:val="center"/>
        </w:pPr>
        <w:r>
          <w:t>[</w:t>
        </w:r>
        <w:fldSimple w:instr=" PAGE   \* MERGEFORMAT ">
          <w:r w:rsidR="00077ABF">
            <w:rPr>
              <w:noProof/>
            </w:rPr>
            <w:t>7</w:t>
          </w:r>
        </w:fldSimple>
        <w:r>
          <w:t>]</w:t>
        </w:r>
      </w:p>
    </w:sdtContent>
  </w:sdt>
  <w:p w:rsidR="001C4041" w:rsidRDefault="001C4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AA" w:rsidRDefault="005A63AA" w:rsidP="009D6653">
      <w:r>
        <w:separator/>
      </w:r>
    </w:p>
  </w:footnote>
  <w:footnote w:type="continuationSeparator" w:id="0">
    <w:p w:rsidR="005A63AA" w:rsidRDefault="005A63AA" w:rsidP="009D6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A34D5"/>
    <w:multiLevelType w:val="multilevel"/>
    <w:tmpl w:val="26F6F84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73B0E41"/>
    <w:multiLevelType w:val="hybridMultilevel"/>
    <w:tmpl w:val="E68896FC"/>
    <w:lvl w:ilvl="0" w:tplc="0408001B">
      <w:start w:val="1"/>
      <w:numFmt w:val="lowerRoman"/>
      <w:lvlText w:val="%1."/>
      <w:lvlJc w:val="righ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9D6653"/>
    <w:rsid w:val="0000562F"/>
    <w:rsid w:val="00055431"/>
    <w:rsid w:val="00077ABF"/>
    <w:rsid w:val="00082222"/>
    <w:rsid w:val="000971DD"/>
    <w:rsid w:val="000E2358"/>
    <w:rsid w:val="00132EC8"/>
    <w:rsid w:val="001815DB"/>
    <w:rsid w:val="001A0402"/>
    <w:rsid w:val="001B7D21"/>
    <w:rsid w:val="001C4041"/>
    <w:rsid w:val="001D3C2B"/>
    <w:rsid w:val="00262971"/>
    <w:rsid w:val="00270C11"/>
    <w:rsid w:val="002E2EC8"/>
    <w:rsid w:val="00310EBA"/>
    <w:rsid w:val="00371E99"/>
    <w:rsid w:val="0038019A"/>
    <w:rsid w:val="003A1998"/>
    <w:rsid w:val="003F622B"/>
    <w:rsid w:val="00405C1E"/>
    <w:rsid w:val="0041704C"/>
    <w:rsid w:val="00432C66"/>
    <w:rsid w:val="00453668"/>
    <w:rsid w:val="00483298"/>
    <w:rsid w:val="004859E6"/>
    <w:rsid w:val="004B1297"/>
    <w:rsid w:val="004E7BAA"/>
    <w:rsid w:val="004F1D5B"/>
    <w:rsid w:val="005156C0"/>
    <w:rsid w:val="005906B9"/>
    <w:rsid w:val="005A63AA"/>
    <w:rsid w:val="005C0913"/>
    <w:rsid w:val="005F564F"/>
    <w:rsid w:val="0061745C"/>
    <w:rsid w:val="00663E7A"/>
    <w:rsid w:val="006905D0"/>
    <w:rsid w:val="006E6B46"/>
    <w:rsid w:val="00701FCA"/>
    <w:rsid w:val="007231FD"/>
    <w:rsid w:val="00726086"/>
    <w:rsid w:val="00754F52"/>
    <w:rsid w:val="00785A2D"/>
    <w:rsid w:val="007B7212"/>
    <w:rsid w:val="007E45F6"/>
    <w:rsid w:val="00816447"/>
    <w:rsid w:val="008426EC"/>
    <w:rsid w:val="008528D1"/>
    <w:rsid w:val="0085315D"/>
    <w:rsid w:val="00864501"/>
    <w:rsid w:val="00867FFD"/>
    <w:rsid w:val="008C147A"/>
    <w:rsid w:val="008C4EE1"/>
    <w:rsid w:val="008D1675"/>
    <w:rsid w:val="008D3AF5"/>
    <w:rsid w:val="00901D62"/>
    <w:rsid w:val="00926F1C"/>
    <w:rsid w:val="009270F8"/>
    <w:rsid w:val="009425C1"/>
    <w:rsid w:val="009B4FF6"/>
    <w:rsid w:val="009D60B5"/>
    <w:rsid w:val="009D6653"/>
    <w:rsid w:val="00A11781"/>
    <w:rsid w:val="00A31146"/>
    <w:rsid w:val="00AB69F5"/>
    <w:rsid w:val="00B0297A"/>
    <w:rsid w:val="00B61FF9"/>
    <w:rsid w:val="00B77BE4"/>
    <w:rsid w:val="00BA167C"/>
    <w:rsid w:val="00BA5919"/>
    <w:rsid w:val="00BF0679"/>
    <w:rsid w:val="00C11860"/>
    <w:rsid w:val="00C31AD5"/>
    <w:rsid w:val="00C418B8"/>
    <w:rsid w:val="00CE07F5"/>
    <w:rsid w:val="00D246F0"/>
    <w:rsid w:val="00D418A4"/>
    <w:rsid w:val="00D426AA"/>
    <w:rsid w:val="00D66F35"/>
    <w:rsid w:val="00D944C8"/>
    <w:rsid w:val="00DD5C5A"/>
    <w:rsid w:val="00E40D0D"/>
    <w:rsid w:val="00E87E72"/>
    <w:rsid w:val="00EA3109"/>
    <w:rsid w:val="00EB1BA2"/>
    <w:rsid w:val="00EC04C6"/>
    <w:rsid w:val="00EC3E6C"/>
    <w:rsid w:val="00ED061A"/>
    <w:rsid w:val="00F04552"/>
    <w:rsid w:val="00F302BE"/>
    <w:rsid w:val="00F312E4"/>
    <w:rsid w:val="00F3450F"/>
    <w:rsid w:val="00F36967"/>
    <w:rsid w:val="00F47473"/>
    <w:rsid w:val="00F53C5D"/>
    <w:rsid w:val="00F96AC8"/>
    <w:rsid w:val="00FA07A8"/>
    <w:rsid w:val="00FF00A7"/>
    <w:rsid w:val="00FF4D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5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9D6653"/>
    <w:pPr>
      <w:keepNext/>
      <w:jc w:val="center"/>
      <w:outlineLvl w:val="0"/>
    </w:pPr>
    <w:rPr>
      <w:rFonts w:ascii="Arial" w:hAnsi="Arial" w:cs="Arial"/>
      <w:b/>
      <w:bCs/>
      <w:sz w:val="20"/>
      <w:szCs w:val="20"/>
      <w:lang w:val="el-GR"/>
    </w:rPr>
  </w:style>
  <w:style w:type="paragraph" w:styleId="Heading2">
    <w:name w:val="heading 2"/>
    <w:basedOn w:val="Normal"/>
    <w:next w:val="Normal"/>
    <w:link w:val="Heading2Char"/>
    <w:qFormat/>
    <w:rsid w:val="009D6653"/>
    <w:pPr>
      <w:keepNext/>
      <w:jc w:val="center"/>
      <w:outlineLvl w:val="1"/>
    </w:pPr>
    <w:rPr>
      <w:rFonts w:ascii="Arial" w:hAnsi="Arial" w:cs="Arial"/>
      <w:i/>
      <w:iCs/>
      <w:sz w:val="20"/>
      <w:szCs w:val="20"/>
      <w:lang w:val="el-GR"/>
    </w:rPr>
  </w:style>
  <w:style w:type="paragraph" w:styleId="Heading3">
    <w:name w:val="heading 3"/>
    <w:basedOn w:val="Normal"/>
    <w:next w:val="Normal"/>
    <w:link w:val="Heading3Char"/>
    <w:qFormat/>
    <w:rsid w:val="009D6653"/>
    <w:pPr>
      <w:keepNext/>
      <w:spacing w:before="120" w:line="288" w:lineRule="auto"/>
      <w:jc w:val="both"/>
      <w:outlineLvl w:val="2"/>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53"/>
    <w:rPr>
      <w:rFonts w:ascii="Arial" w:eastAsia="Times New Roman" w:hAnsi="Arial" w:cs="Arial"/>
      <w:b/>
      <w:bCs/>
      <w:sz w:val="20"/>
      <w:szCs w:val="20"/>
      <w:lang w:eastAsia="en-GB"/>
    </w:rPr>
  </w:style>
  <w:style w:type="character" w:customStyle="1" w:styleId="Heading2Char">
    <w:name w:val="Heading 2 Char"/>
    <w:basedOn w:val="DefaultParagraphFont"/>
    <w:link w:val="Heading2"/>
    <w:rsid w:val="009D6653"/>
    <w:rPr>
      <w:rFonts w:ascii="Arial" w:eastAsia="Times New Roman" w:hAnsi="Arial" w:cs="Arial"/>
      <w:i/>
      <w:iCs/>
      <w:sz w:val="20"/>
      <w:szCs w:val="20"/>
      <w:lang w:eastAsia="en-GB"/>
    </w:rPr>
  </w:style>
  <w:style w:type="character" w:customStyle="1" w:styleId="Heading3Char">
    <w:name w:val="Heading 3 Char"/>
    <w:basedOn w:val="DefaultParagraphFont"/>
    <w:link w:val="Heading3"/>
    <w:rsid w:val="009D6653"/>
    <w:rPr>
      <w:rFonts w:ascii="Times New Roman" w:eastAsia="Times New Roman" w:hAnsi="Times New Roman" w:cs="Times New Roman"/>
      <w:b/>
      <w:bCs/>
      <w:sz w:val="24"/>
      <w:szCs w:val="24"/>
      <w:lang w:eastAsia="en-GB"/>
    </w:rPr>
  </w:style>
  <w:style w:type="paragraph" w:styleId="BodyText">
    <w:name w:val="Body Text"/>
    <w:basedOn w:val="Normal"/>
    <w:link w:val="BodyTextChar"/>
    <w:rsid w:val="009D6653"/>
    <w:pPr>
      <w:spacing w:before="120" w:line="288" w:lineRule="auto"/>
      <w:jc w:val="both"/>
    </w:pPr>
    <w:rPr>
      <w:lang w:val="el-GR"/>
    </w:rPr>
  </w:style>
  <w:style w:type="character" w:customStyle="1" w:styleId="BodyTextChar">
    <w:name w:val="Body Text Char"/>
    <w:basedOn w:val="DefaultParagraphFont"/>
    <w:link w:val="BodyText"/>
    <w:rsid w:val="009D6653"/>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9D6653"/>
    <w:rPr>
      <w:sz w:val="20"/>
      <w:szCs w:val="20"/>
    </w:rPr>
  </w:style>
  <w:style w:type="character" w:customStyle="1" w:styleId="FootnoteTextChar">
    <w:name w:val="Footnote Text Char"/>
    <w:basedOn w:val="DefaultParagraphFont"/>
    <w:link w:val="FootnoteText"/>
    <w:semiHidden/>
    <w:rsid w:val="009D665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9D6653"/>
    <w:rPr>
      <w:vertAlign w:val="superscript"/>
    </w:rPr>
  </w:style>
  <w:style w:type="paragraph" w:styleId="BodyText3">
    <w:name w:val="Body Text 3"/>
    <w:basedOn w:val="Normal"/>
    <w:link w:val="BodyText3Char"/>
    <w:rsid w:val="009D6653"/>
    <w:pPr>
      <w:spacing w:before="120" w:line="288" w:lineRule="auto"/>
      <w:jc w:val="center"/>
    </w:pPr>
    <w:rPr>
      <w:b/>
      <w:lang w:val="el-GR"/>
    </w:rPr>
  </w:style>
  <w:style w:type="character" w:customStyle="1" w:styleId="BodyText3Char">
    <w:name w:val="Body Text 3 Char"/>
    <w:basedOn w:val="DefaultParagraphFont"/>
    <w:link w:val="BodyText3"/>
    <w:rsid w:val="009D6653"/>
    <w:rPr>
      <w:rFonts w:ascii="Times New Roman" w:eastAsia="Times New Roman" w:hAnsi="Times New Roman" w:cs="Times New Roman"/>
      <w:b/>
      <w:sz w:val="24"/>
      <w:szCs w:val="24"/>
      <w:lang w:eastAsia="en-GB"/>
    </w:rPr>
  </w:style>
  <w:style w:type="paragraph" w:styleId="BodyTextIndent2">
    <w:name w:val="Body Text Indent 2"/>
    <w:basedOn w:val="Normal"/>
    <w:link w:val="BodyTextIndent2Char"/>
    <w:rsid w:val="009D6653"/>
    <w:pPr>
      <w:spacing w:before="120" w:line="288" w:lineRule="auto"/>
      <w:ind w:firstLine="720"/>
      <w:jc w:val="both"/>
    </w:pPr>
    <w:rPr>
      <w:bCs/>
      <w:lang w:val="el-GR"/>
    </w:rPr>
  </w:style>
  <w:style w:type="character" w:customStyle="1" w:styleId="BodyTextIndent2Char">
    <w:name w:val="Body Text Indent 2 Char"/>
    <w:basedOn w:val="DefaultParagraphFont"/>
    <w:link w:val="BodyTextIndent2"/>
    <w:rsid w:val="009D6653"/>
    <w:rPr>
      <w:rFonts w:ascii="Times New Roman" w:eastAsia="Times New Roman" w:hAnsi="Times New Roman" w:cs="Times New Roman"/>
      <w:bCs/>
      <w:sz w:val="24"/>
      <w:szCs w:val="24"/>
      <w:lang w:eastAsia="en-GB"/>
    </w:rPr>
  </w:style>
  <w:style w:type="paragraph" w:styleId="BalloonText">
    <w:name w:val="Balloon Text"/>
    <w:basedOn w:val="Normal"/>
    <w:link w:val="BalloonTextChar"/>
    <w:uiPriority w:val="99"/>
    <w:semiHidden/>
    <w:unhideWhenUsed/>
    <w:rsid w:val="00864501"/>
    <w:rPr>
      <w:rFonts w:ascii="Tahoma" w:hAnsi="Tahoma" w:cs="Tahoma"/>
      <w:sz w:val="16"/>
      <w:szCs w:val="16"/>
    </w:rPr>
  </w:style>
  <w:style w:type="character" w:customStyle="1" w:styleId="BalloonTextChar">
    <w:name w:val="Balloon Text Char"/>
    <w:basedOn w:val="DefaultParagraphFont"/>
    <w:link w:val="BalloonText"/>
    <w:uiPriority w:val="99"/>
    <w:semiHidden/>
    <w:rsid w:val="00864501"/>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8C147A"/>
    <w:pPr>
      <w:tabs>
        <w:tab w:val="center" w:pos="4153"/>
        <w:tab w:val="right" w:pos="8306"/>
      </w:tabs>
    </w:pPr>
  </w:style>
  <w:style w:type="character" w:customStyle="1" w:styleId="HeaderChar">
    <w:name w:val="Header Char"/>
    <w:basedOn w:val="DefaultParagraphFont"/>
    <w:link w:val="Header"/>
    <w:uiPriority w:val="99"/>
    <w:semiHidden/>
    <w:rsid w:val="008C147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C147A"/>
    <w:pPr>
      <w:tabs>
        <w:tab w:val="center" w:pos="4153"/>
        <w:tab w:val="right" w:pos="8306"/>
      </w:tabs>
    </w:pPr>
  </w:style>
  <w:style w:type="character" w:customStyle="1" w:styleId="FooterChar">
    <w:name w:val="Footer Char"/>
    <w:basedOn w:val="DefaultParagraphFont"/>
    <w:link w:val="Footer"/>
    <w:uiPriority w:val="99"/>
    <w:rsid w:val="008C147A"/>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926F1C"/>
    <w:rPr>
      <w:rFonts w:ascii="Book Antiqua" w:hAnsi="Book Antiqua"/>
      <w:sz w:val="18"/>
      <w:lang w:val="en-US"/>
    </w:rPr>
  </w:style>
  <w:style w:type="character" w:customStyle="1" w:styleId="BodyText2Char">
    <w:name w:val="Body Text 2 Char"/>
    <w:basedOn w:val="DefaultParagraphFont"/>
    <w:link w:val="BodyText2"/>
    <w:rsid w:val="00926F1C"/>
    <w:rPr>
      <w:rFonts w:ascii="Book Antiqua" w:eastAsia="Times New Roman" w:hAnsi="Book Antiqua" w:cs="Times New Roman"/>
      <w:sz w:val="18"/>
      <w:szCs w:val="24"/>
      <w:lang w:val="en-US" w:eastAsia="en-GB"/>
    </w:rPr>
  </w:style>
</w:styles>
</file>

<file path=word/webSettings.xml><?xml version="1.0" encoding="utf-8"?>
<w:webSettings xmlns:r="http://schemas.openxmlformats.org/officeDocument/2006/relationships" xmlns:w="http://schemas.openxmlformats.org/wordprocessingml/2006/main">
  <w:divs>
    <w:div w:id="397241808">
      <w:bodyDiv w:val="1"/>
      <w:marLeft w:val="0"/>
      <w:marRight w:val="0"/>
      <w:marTop w:val="0"/>
      <w:marBottom w:val="0"/>
      <w:divBdr>
        <w:top w:val="none" w:sz="0" w:space="0" w:color="auto"/>
        <w:left w:val="none" w:sz="0" w:space="0" w:color="auto"/>
        <w:bottom w:val="none" w:sz="0" w:space="0" w:color="auto"/>
        <w:right w:val="none" w:sz="0" w:space="0" w:color="auto"/>
      </w:divBdr>
    </w:div>
    <w:div w:id="17794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20(&#913;&#965;&#964;&#972;&#956;&#945;&#964;&#945;%20&#913;&#960;&#959;&#952;&#951;&#954;&#949;&#965;&#956;&#941;&#957;&#95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20(&#913;&#965;&#964;&#972;&#956;&#945;&#964;&#945;%20&#913;&#960;&#959;&#952;&#951;&#954;&#949;&#965;&#956;&#941;&#957;&#95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20(&#913;&#965;&#964;&#972;&#956;&#945;&#964;&#945;%20&#913;&#960;&#959;&#952;&#951;&#954;&#949;&#965;&#956;&#941;&#957;&#95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20(&#913;&#965;&#964;&#972;&#956;&#945;&#964;&#945;%20&#913;&#960;&#959;&#952;&#951;&#954;&#949;&#965;&#956;&#941;&#957;&#95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20(&#913;&#965;&#964;&#972;&#956;&#945;&#964;&#945;%20&#913;&#960;&#959;&#952;&#951;&#954;&#949;&#965;&#956;&#941;&#957;&#95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20(&#913;&#965;&#964;&#972;&#956;&#945;&#964;&#945;%20&#913;&#960;&#959;&#952;&#951;&#954;&#949;&#965;&#956;&#941;&#957;&#95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20(&#913;&#965;&#964;&#972;&#956;&#945;&#964;&#945;%20&#913;&#960;&#959;&#952;&#951;&#954;&#949;&#965;&#956;&#941;&#957;&#95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cuments\&#934;&#959;&#943;&#946;&#951;\&#917;&#929;&#937;&#932;&#919;&#924;&#913;&#932;&#927;&#923;&#927;&#915;&#921;&#927;_esports2%20(&#913;&#965;&#964;&#972;&#956;&#945;&#964;&#945;%20&#913;&#960;&#959;&#952;&#951;&#954;&#949;&#965;&#956;&#941;&#957;&#95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view3D>
      <c:rotX val="30"/>
      <c:perspective val="30"/>
    </c:view3D>
    <c:plotArea>
      <c:layout>
        <c:manualLayout>
          <c:layoutTarget val="inner"/>
          <c:xMode val="edge"/>
          <c:yMode val="edge"/>
          <c:x val="9.0721618658427247E-2"/>
          <c:y val="0.15032423342291809"/>
          <c:w val="0.57812186451377245"/>
          <c:h val="0.77120782057931414"/>
        </c:manualLayout>
      </c:layout>
      <c:pie3DChart>
        <c:varyColors val="1"/>
        <c:ser>
          <c:idx val="0"/>
          <c:order val="0"/>
          <c:spPr>
            <a:solidFill>
              <a:srgbClr val="F79646">
                <a:lumMod val="60000"/>
                <a:lumOff val="40000"/>
              </a:srgbClr>
            </a:solidFill>
          </c:spPr>
          <c:explosion val="17"/>
          <c:dPt>
            <c:idx val="1"/>
            <c:spPr>
              <a:solidFill>
                <a:schemeClr val="accent5">
                  <a:lumMod val="40000"/>
                  <a:lumOff val="60000"/>
                </a:schemeClr>
              </a:solidFill>
            </c:spPr>
          </c:dPt>
          <c:dLbls>
            <c:numFmt formatCode="0.00%" sourceLinked="0"/>
            <c:txPr>
              <a:bodyPr/>
              <a:lstStyle/>
              <a:p>
                <a:pPr>
                  <a:defRPr sz="1100" b="1">
                    <a:latin typeface="Book Antiqua" pitchFamily="18" charset="0"/>
                  </a:defRPr>
                </a:pPr>
                <a:endParaRPr lang="el-GR"/>
              </a:p>
            </c:txPr>
            <c:showVal val="1"/>
            <c:showLeaderLines val="1"/>
          </c:dLbls>
          <c:cat>
            <c:strRef>
              <c:f>'Γενικά Στοιχεία'!$A$2:$A$3</c:f>
              <c:strCache>
                <c:ptCount val="2"/>
                <c:pt idx="0">
                  <c:v>Κορίτσια</c:v>
                </c:pt>
                <c:pt idx="1">
                  <c:v>Αγόρια</c:v>
                </c:pt>
              </c:strCache>
            </c:strRef>
          </c:cat>
          <c:val>
            <c:numRef>
              <c:f>'Γενικά Στοιχεία'!$C$2:$C$3</c:f>
              <c:numCache>
                <c:formatCode>0.00%</c:formatCode>
                <c:ptCount val="2"/>
                <c:pt idx="0">
                  <c:v>0.52808988764044962</c:v>
                </c:pt>
                <c:pt idx="1">
                  <c:v>0.47191011235955127</c:v>
                </c:pt>
              </c:numCache>
            </c:numRef>
          </c:val>
        </c:ser>
      </c:pie3DChart>
    </c:plotArea>
    <c:legend>
      <c:legendPos val="r"/>
      <c:txPr>
        <a:bodyPr/>
        <a:lstStyle/>
        <a:p>
          <a:pPr rtl="0">
            <a:defRPr sz="1100">
              <a:latin typeface="Book Antiqua" pitchFamily="18" charset="0"/>
            </a:defRPr>
          </a:pPr>
          <a:endParaRPr lang="el-GR"/>
        </a:p>
      </c:txPr>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style val="25"/>
  <c:chart>
    <c:title>
      <c:tx>
        <c:rich>
          <a:bodyPr/>
          <a:lstStyle/>
          <a:p>
            <a:pPr>
              <a:defRPr/>
            </a:pPr>
            <a:r>
              <a:rPr lang="el-GR"/>
              <a:t>Θα σας ενδιέφερε να ενημερωθείτε περισσότερο για το θέμα των </a:t>
            </a:r>
            <a:r>
              <a:rPr lang="en-US"/>
              <a:t>eSports</a:t>
            </a:r>
            <a:r>
              <a:rPr lang="el-GR"/>
              <a:t>;</a:t>
            </a:r>
          </a:p>
        </c:rich>
      </c:tx>
    </c:title>
    <c:view3D>
      <c:rotX val="30"/>
      <c:perspective val="30"/>
    </c:view3D>
    <c:plotArea>
      <c:layout>
        <c:manualLayout>
          <c:layoutTarget val="inner"/>
          <c:xMode val="edge"/>
          <c:yMode val="edge"/>
          <c:x val="5.3197582860282012E-2"/>
          <c:y val="0.31520815667272362"/>
          <c:w val="0.90600793505462951"/>
          <c:h val="0.65076317383403992"/>
        </c:manualLayout>
      </c:layout>
      <c:pie3DChart>
        <c:varyColors val="1"/>
        <c:ser>
          <c:idx val="0"/>
          <c:order val="0"/>
          <c:tx>
            <c:strRef>
              <c:f>eSprorts!$A$41</c:f>
              <c:strCache>
                <c:ptCount val="1"/>
                <c:pt idx="0">
                  <c:v>Ενημέρωση</c:v>
                </c:pt>
              </c:strCache>
            </c:strRef>
          </c:tx>
          <c:explosion val="25"/>
          <c:dPt>
            <c:idx val="0"/>
            <c:spPr>
              <a:solidFill>
                <a:schemeClr val="accent3">
                  <a:lumMod val="60000"/>
                  <a:lumOff val="40000"/>
                </a:schemeClr>
              </a:solidFill>
            </c:spPr>
          </c:dPt>
          <c:dPt>
            <c:idx val="1"/>
            <c:spPr>
              <a:solidFill>
                <a:srgbClr val="E0A0A0"/>
              </a:solidFill>
            </c:spPr>
          </c:dPt>
          <c:dLbls>
            <c:dLbl>
              <c:idx val="1"/>
              <c:layout>
                <c:manualLayout>
                  <c:x val="0.15532370953630822"/>
                  <c:y val="4.4640201224846979E-2"/>
                </c:manualLayout>
              </c:layout>
              <c:showVal val="1"/>
              <c:showCatName val="1"/>
              <c:separator>
</c:separator>
            </c:dLbl>
            <c:txPr>
              <a:bodyPr/>
              <a:lstStyle/>
              <a:p>
                <a:pPr>
                  <a:defRPr b="1"/>
                </a:pPr>
                <a:endParaRPr lang="el-GR"/>
              </a:p>
            </c:txPr>
            <c:showVal val="1"/>
            <c:showCatName val="1"/>
            <c:separator>
</c:separator>
            <c:showLeaderLines val="1"/>
          </c:dLbls>
          <c:cat>
            <c:strRef>
              <c:f>eSprorts!$B$40:$C$40</c:f>
              <c:strCache>
                <c:ptCount val="2"/>
                <c:pt idx="0">
                  <c:v>ΝΑΙ</c:v>
                </c:pt>
                <c:pt idx="1">
                  <c:v>ΌΧΙ</c:v>
                </c:pt>
              </c:strCache>
            </c:strRef>
          </c:cat>
          <c:val>
            <c:numRef>
              <c:f>eSprorts!$B$42:$C$42</c:f>
              <c:numCache>
                <c:formatCode>0.00%</c:formatCode>
                <c:ptCount val="2"/>
                <c:pt idx="0">
                  <c:v>0.65168539325842811</c:v>
                </c:pt>
                <c:pt idx="1">
                  <c:v>0.34831460674157333</c:v>
                </c:pt>
              </c:numCache>
            </c:numRef>
          </c:val>
        </c:ser>
      </c:pie3DChart>
      <c:spPr>
        <a:noFill/>
        <a:ln>
          <a:noFill/>
        </a:ln>
      </c:spPr>
    </c:plotArea>
    <c:plotVisOnly val="1"/>
  </c:chart>
  <c:spPr>
    <a:noFill/>
    <a:ln>
      <a:noFill/>
    </a:ln>
  </c:spPr>
  <c:txPr>
    <a:bodyPr/>
    <a:lstStyle/>
    <a:p>
      <a:pPr>
        <a:defRPr sz="1000">
          <a:latin typeface="Book Antiqua" pitchFamily="18" charset="0"/>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style val="27"/>
  <c:chart>
    <c:plotArea>
      <c:layout>
        <c:manualLayout>
          <c:layoutTarget val="inner"/>
          <c:xMode val="edge"/>
          <c:yMode val="edge"/>
          <c:x val="0.144664998270565"/>
          <c:y val="0.15251889920945524"/>
          <c:w val="0.76729559748427911"/>
          <c:h val="0.84722222222222221"/>
        </c:manualLayout>
      </c:layout>
      <c:pieChart>
        <c:varyColors val="1"/>
        <c:ser>
          <c:idx val="0"/>
          <c:order val="0"/>
          <c:explosion val="25"/>
          <c:dPt>
            <c:idx val="0"/>
            <c:explosion val="9"/>
          </c:dPt>
          <c:dPt>
            <c:idx val="1"/>
            <c:explosion val="24"/>
          </c:dPt>
          <c:dLbls>
            <c:dLbl>
              <c:idx val="0"/>
              <c:layout>
                <c:manualLayout>
                  <c:x val="0.30138388257023496"/>
                  <c:y val="-4.1970443349753687E-2"/>
                </c:manualLayout>
              </c:layout>
              <c:numFmt formatCode="0.00%" sourceLinked="0"/>
              <c:spPr/>
              <c:txPr>
                <a:bodyPr/>
                <a:lstStyle/>
                <a:p>
                  <a:pPr>
                    <a:defRPr sz="1100">
                      <a:latin typeface="Book Antiqua" pitchFamily="18" charset="0"/>
                    </a:defRPr>
                  </a:pPr>
                  <a:endParaRPr lang="el-GR"/>
                </a:p>
              </c:txPr>
              <c:dLblPos val="bestFit"/>
              <c:showCatName val="1"/>
              <c:showPercent val="1"/>
              <c:separator> </c:separator>
            </c:dLbl>
            <c:dLbl>
              <c:idx val="1"/>
              <c:layout>
                <c:manualLayout>
                  <c:x val="-0.14109788602006174"/>
                  <c:y val="4.7488644757728758E-2"/>
                </c:manualLayout>
              </c:layout>
              <c:numFmt formatCode="0.00%" sourceLinked="0"/>
              <c:spPr/>
              <c:txPr>
                <a:bodyPr/>
                <a:lstStyle/>
                <a:p>
                  <a:pPr>
                    <a:defRPr sz="1100">
                      <a:latin typeface="Book Antiqua" pitchFamily="18" charset="0"/>
                    </a:defRPr>
                  </a:pPr>
                  <a:endParaRPr lang="el-GR"/>
                </a:p>
              </c:txPr>
              <c:dLblPos val="bestFit"/>
              <c:showCatName val="1"/>
              <c:showPercent val="1"/>
            </c:dLbl>
            <c:txPr>
              <a:bodyPr/>
              <a:lstStyle/>
              <a:p>
                <a:pPr>
                  <a:defRPr sz="1100">
                    <a:latin typeface="Book Antiqua" pitchFamily="18" charset="0"/>
                  </a:defRPr>
                </a:pPr>
                <a:endParaRPr lang="el-GR"/>
              </a:p>
            </c:txPr>
            <c:showCatName val="1"/>
            <c:showPercent val="1"/>
            <c:showLeaderLines val="1"/>
          </c:dLbls>
          <c:cat>
            <c:strRef>
              <c:f>'Χρήση Διαδικτύου'!$B$3:$B$4</c:f>
              <c:strCache>
                <c:ptCount val="2"/>
                <c:pt idx="0">
                  <c:v>ΝΑΙ</c:v>
                </c:pt>
                <c:pt idx="1">
                  <c:v>OXI</c:v>
                </c:pt>
              </c:strCache>
            </c:strRef>
          </c:cat>
          <c:val>
            <c:numRef>
              <c:f>'Χρήση Διαδικτύου'!$C$3:$C$4</c:f>
              <c:numCache>
                <c:formatCode>General</c:formatCode>
                <c:ptCount val="2"/>
                <c:pt idx="0">
                  <c:v>86</c:v>
                </c:pt>
                <c:pt idx="1">
                  <c:v>3</c:v>
                </c:pt>
              </c:numCache>
            </c:numRef>
          </c:val>
        </c:ser>
        <c:firstSliceAng val="0"/>
      </c:pieChart>
    </c:plotArea>
    <c:plotVisOnly val="1"/>
  </c:chart>
  <c:spPr>
    <a:gradFill flip="none" rotWithShape="1">
      <a:gsLst>
        <a:gs pos="0">
          <a:srgbClr val="8FACE1"/>
        </a:gs>
        <a:gs pos="0">
          <a:srgbClr val="4F81BD">
            <a:tint val="44500"/>
            <a:satMod val="160000"/>
          </a:srgbClr>
        </a:gs>
        <a:gs pos="100000">
          <a:srgbClr val="4F81BD">
            <a:tint val="23500"/>
            <a:satMod val="160000"/>
          </a:srgbClr>
        </a:gs>
      </a:gsLst>
      <a:path path="shape">
        <a:fillToRect l="50000" t="50000" r="50000" b="50000"/>
      </a:path>
      <a:tileRect/>
    </a:gradFill>
    <a:ln>
      <a:noFill/>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view3D>
      <c:rotX val="0"/>
      <c:hPercent val="100"/>
      <c:rotY val="0"/>
      <c:depthPercent val="100"/>
      <c:perspective val="0"/>
    </c:view3D>
    <c:sideWall>
      <c:spPr>
        <a:noFill/>
        <a:ln w="25400">
          <a:noFill/>
        </a:ln>
      </c:spPr>
    </c:sideWall>
    <c:backWall>
      <c:spPr>
        <a:noFill/>
        <a:ln w="25400">
          <a:noFill/>
        </a:ln>
      </c:spPr>
    </c:backWall>
    <c:plotArea>
      <c:layout>
        <c:manualLayout>
          <c:layoutTarget val="inner"/>
          <c:xMode val="edge"/>
          <c:yMode val="edge"/>
          <c:x val="5.0925925925925923E-2"/>
          <c:y val="6.9364161849711115E-2"/>
          <c:w val="0.6027661125692626"/>
          <c:h val="0.84585741811175363"/>
        </c:manualLayout>
      </c:layout>
      <c:bar3DChart>
        <c:barDir val="col"/>
        <c:grouping val="percentStacked"/>
        <c:ser>
          <c:idx val="0"/>
          <c:order val="0"/>
          <c:tx>
            <c:strRef>
              <c:f>Φύλλο1!$B$1</c:f>
              <c:strCache>
                <c:ptCount val="1"/>
                <c:pt idx="0">
                  <c:v>Κορίτσια</c:v>
                </c:pt>
              </c:strCache>
            </c:strRef>
          </c:tx>
          <c:spPr>
            <a:solidFill>
              <a:schemeClr val="accent2">
                <a:lumMod val="40000"/>
                <a:lumOff val="60000"/>
              </a:schemeClr>
            </a:solidFill>
          </c:spPr>
          <c:dLbls>
            <c:dLbl>
              <c:idx val="0"/>
              <c:showVal val="1"/>
              <c:separator>
</c:separator>
            </c:dLbl>
            <c:txPr>
              <a:bodyPr/>
              <a:lstStyle/>
              <a:p>
                <a:pPr>
                  <a:defRPr sz="1100">
                    <a:latin typeface="Book Antiqua" pitchFamily="18" charset="0"/>
                  </a:defRPr>
                </a:pPr>
                <a:endParaRPr lang="el-GR"/>
              </a:p>
            </c:txPr>
            <c:showVal val="1"/>
            <c:showSerName val="1"/>
            <c:separator>
</c:separator>
          </c:dLbls>
          <c:cat>
            <c:strRef>
              <c:f>Φύλλο1!$A$2</c:f>
              <c:strCache>
                <c:ptCount val="1"/>
                <c:pt idx="0">
                  <c:v>Φύλλο</c:v>
                </c:pt>
              </c:strCache>
            </c:strRef>
          </c:cat>
          <c:val>
            <c:numRef>
              <c:f>Φύλλο1!$B$2</c:f>
              <c:numCache>
                <c:formatCode>0.00%</c:formatCode>
                <c:ptCount val="1"/>
                <c:pt idx="0">
                  <c:v>0.43590000000000034</c:v>
                </c:pt>
              </c:numCache>
            </c:numRef>
          </c:val>
        </c:ser>
        <c:ser>
          <c:idx val="1"/>
          <c:order val="1"/>
          <c:tx>
            <c:strRef>
              <c:f>Φύλλο1!$C$1</c:f>
              <c:strCache>
                <c:ptCount val="1"/>
                <c:pt idx="0">
                  <c:v>Αγόρια</c:v>
                </c:pt>
              </c:strCache>
            </c:strRef>
          </c:tx>
          <c:spPr>
            <a:gradFill>
              <a:gsLst>
                <a:gs pos="0">
                  <a:srgbClr val="8FACE1"/>
                </a:gs>
                <a:gs pos="0">
                  <a:srgbClr val="4F81BD">
                    <a:tint val="44500"/>
                    <a:satMod val="160000"/>
                  </a:srgbClr>
                </a:gs>
                <a:gs pos="100000">
                  <a:srgbClr val="4F81BD">
                    <a:tint val="23500"/>
                    <a:satMod val="160000"/>
                  </a:srgbClr>
                </a:gs>
              </a:gsLst>
              <a:path path="shape">
                <a:fillToRect l="50000" t="50000" r="50000" b="50000"/>
              </a:path>
            </a:gradFill>
          </c:spPr>
          <c:dLbls>
            <c:dLbl>
              <c:idx val="0"/>
              <c:numFmt formatCode="0.00%" sourceLinked="0"/>
              <c:spPr/>
              <c:txPr>
                <a:bodyPr/>
                <a:lstStyle/>
                <a:p>
                  <a:pPr>
                    <a:defRPr sz="1100">
                      <a:latin typeface="Book Antiqua" pitchFamily="18" charset="0"/>
                    </a:defRPr>
                  </a:pPr>
                  <a:endParaRPr lang="el-GR"/>
                </a:p>
              </c:txPr>
            </c:dLbl>
            <c:numFmt formatCode="#,##0.00" sourceLinked="0"/>
            <c:txPr>
              <a:bodyPr/>
              <a:lstStyle/>
              <a:p>
                <a:pPr>
                  <a:defRPr sz="1100">
                    <a:latin typeface="Book Antiqua" pitchFamily="18" charset="0"/>
                  </a:defRPr>
                </a:pPr>
                <a:endParaRPr lang="el-GR"/>
              </a:p>
            </c:txPr>
            <c:showVal val="1"/>
            <c:separator>
</c:separator>
          </c:dLbls>
          <c:cat>
            <c:strRef>
              <c:f>Φύλλο1!$A$2</c:f>
              <c:strCache>
                <c:ptCount val="1"/>
                <c:pt idx="0">
                  <c:v>Φύλλο</c:v>
                </c:pt>
              </c:strCache>
            </c:strRef>
          </c:cat>
          <c:val>
            <c:numRef>
              <c:f>Φύλλο1!$C$2</c:f>
              <c:numCache>
                <c:formatCode>0.00%</c:formatCode>
                <c:ptCount val="1"/>
                <c:pt idx="0">
                  <c:v>0.56410000000000005</c:v>
                </c:pt>
              </c:numCache>
            </c:numRef>
          </c:val>
        </c:ser>
        <c:shape val="cylinder"/>
        <c:axId val="102504320"/>
        <c:axId val="102505856"/>
        <c:axId val="0"/>
      </c:bar3DChart>
      <c:catAx>
        <c:axId val="102504320"/>
        <c:scaling>
          <c:orientation val="minMax"/>
        </c:scaling>
        <c:delete val="1"/>
        <c:axPos val="b"/>
        <c:tickLblPos val="none"/>
        <c:crossAx val="102505856"/>
        <c:crosses val="autoZero"/>
        <c:auto val="1"/>
        <c:lblAlgn val="ctr"/>
        <c:lblOffset val="100"/>
      </c:catAx>
      <c:valAx>
        <c:axId val="102505856"/>
        <c:scaling>
          <c:orientation val="minMax"/>
        </c:scaling>
        <c:delete val="1"/>
        <c:axPos val="l"/>
        <c:numFmt formatCode="0%" sourceLinked="1"/>
        <c:tickLblPos val="none"/>
        <c:crossAx val="102504320"/>
        <c:crosses val="autoZero"/>
        <c:crossBetween val="between"/>
      </c:valAx>
      <c:spPr>
        <a:noFill/>
        <a:ln>
          <a:noFill/>
        </a:ln>
      </c:spPr>
    </c:plotArea>
    <c:legend>
      <c:legendPos val="r"/>
      <c:txPr>
        <a:bodyPr/>
        <a:lstStyle/>
        <a:p>
          <a:pPr>
            <a:defRPr>
              <a:latin typeface="Book Antiqua" pitchFamily="18" charset="0"/>
            </a:defRPr>
          </a:pPr>
          <a:endParaRPr lang="el-GR"/>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style val="29"/>
  <c:chart>
    <c:autoTitleDeleted val="1"/>
    <c:plotArea>
      <c:layout/>
      <c:pieChart>
        <c:varyColors val="1"/>
        <c:ser>
          <c:idx val="0"/>
          <c:order val="0"/>
          <c:dLbls>
            <c:dLbl>
              <c:idx val="1"/>
              <c:layout>
                <c:manualLayout>
                  <c:x val="0.22027161377555055"/>
                  <c:y val="-6.2329163169324651E-2"/>
                </c:manualLayout>
              </c:layout>
              <c:showCatName val="1"/>
              <c:showPercent val="1"/>
            </c:dLbl>
            <c:numFmt formatCode="0.00%" sourceLinked="0"/>
            <c:txPr>
              <a:bodyPr/>
              <a:lstStyle/>
              <a:p>
                <a:pPr>
                  <a:defRPr sz="1100">
                    <a:latin typeface="Book Antiqua" pitchFamily="18" charset="0"/>
                  </a:defRPr>
                </a:pPr>
                <a:endParaRPr lang="el-GR"/>
              </a:p>
            </c:txPr>
            <c:showCatName val="1"/>
            <c:showPercent val="1"/>
            <c:showLeaderLines val="1"/>
          </c:dLbls>
          <c:cat>
            <c:strRef>
              <c:f>'Χρήση Διαδικτύου'!$I$9:$I$10</c:f>
              <c:strCache>
                <c:ptCount val="2"/>
                <c:pt idx="0">
                  <c:v>ΝΑΙ</c:v>
                </c:pt>
                <c:pt idx="1">
                  <c:v>OXI</c:v>
                </c:pt>
              </c:strCache>
            </c:strRef>
          </c:cat>
          <c:val>
            <c:numRef>
              <c:f>'Χρήση Διαδικτύου'!$J$9:$J$10</c:f>
              <c:numCache>
                <c:formatCode>General</c:formatCode>
                <c:ptCount val="2"/>
                <c:pt idx="0">
                  <c:v>39</c:v>
                </c:pt>
                <c:pt idx="1">
                  <c:v>50</c:v>
                </c:pt>
              </c:numCache>
            </c:numRef>
          </c:val>
        </c:ser>
        <c:dLbls>
          <c:showCatName val="1"/>
          <c:showPercent val="1"/>
        </c:dLbls>
        <c:firstSliceAng val="0"/>
      </c:pieChart>
    </c:plotArea>
    <c:plotVisOnly val="1"/>
  </c:chart>
  <c:spPr>
    <a:ln>
      <a:noFill/>
    </a:ln>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l-GR"/>
  <c:style val="26"/>
  <c:chart>
    <c:plotArea>
      <c:layout/>
      <c:barChart>
        <c:barDir val="bar"/>
        <c:grouping val="clustered"/>
        <c:ser>
          <c:idx val="0"/>
          <c:order val="0"/>
          <c:dLbls>
            <c:numFmt formatCode="0.00%" sourceLinked="0"/>
            <c:txPr>
              <a:bodyPr/>
              <a:lstStyle/>
              <a:p>
                <a:pPr>
                  <a:defRPr sz="1100" b="1">
                    <a:latin typeface="Book Antiqua" pitchFamily="18" charset="0"/>
                  </a:defRPr>
                </a:pPr>
                <a:endParaRPr lang="el-GR"/>
              </a:p>
            </c:txPr>
            <c:showVal val="1"/>
          </c:dLbls>
          <c:cat>
            <c:strRef>
              <c:f>'Χρήση Διαδικτύου'!$A$26:$A$29</c:f>
              <c:strCache>
                <c:ptCount val="4"/>
                <c:pt idx="0">
                  <c:v>&lt;0-1&gt;</c:v>
                </c:pt>
                <c:pt idx="1">
                  <c:v>&lt;1-3&gt;</c:v>
                </c:pt>
                <c:pt idx="2">
                  <c:v>&lt;3-5&gt;</c:v>
                </c:pt>
                <c:pt idx="3">
                  <c:v>&lt;5 και άνω&gt;</c:v>
                </c:pt>
              </c:strCache>
            </c:strRef>
          </c:cat>
          <c:val>
            <c:numRef>
              <c:f>'Χρήση Διαδικτύου'!$C$26:$C$29</c:f>
              <c:numCache>
                <c:formatCode>0.00%</c:formatCode>
                <c:ptCount val="4"/>
                <c:pt idx="0">
                  <c:v>0.16853932584269682</c:v>
                </c:pt>
                <c:pt idx="1">
                  <c:v>0.61797752808988815</c:v>
                </c:pt>
                <c:pt idx="2">
                  <c:v>0.14606741573033732</c:v>
                </c:pt>
                <c:pt idx="3">
                  <c:v>6.7415730337078747E-2</c:v>
                </c:pt>
              </c:numCache>
            </c:numRef>
          </c:val>
        </c:ser>
        <c:axId val="127472384"/>
        <c:axId val="127473920"/>
      </c:barChart>
      <c:catAx>
        <c:axId val="127472384"/>
        <c:scaling>
          <c:orientation val="minMax"/>
        </c:scaling>
        <c:axPos val="l"/>
        <c:tickLblPos val="nextTo"/>
        <c:txPr>
          <a:bodyPr/>
          <a:lstStyle/>
          <a:p>
            <a:pPr>
              <a:defRPr sz="1100">
                <a:latin typeface="Book Antiqua" pitchFamily="18" charset="0"/>
              </a:defRPr>
            </a:pPr>
            <a:endParaRPr lang="el-GR"/>
          </a:p>
        </c:txPr>
        <c:crossAx val="127473920"/>
        <c:crosses val="autoZero"/>
        <c:auto val="1"/>
        <c:lblAlgn val="ctr"/>
        <c:lblOffset val="100"/>
      </c:catAx>
      <c:valAx>
        <c:axId val="127473920"/>
        <c:scaling>
          <c:orientation val="minMax"/>
        </c:scaling>
        <c:delete val="1"/>
        <c:axPos val="b"/>
        <c:numFmt formatCode="0.00%" sourceLinked="1"/>
        <c:tickLblPos val="none"/>
        <c:crossAx val="127472384"/>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style val="26"/>
  <c:chart>
    <c:plotArea>
      <c:layout>
        <c:manualLayout>
          <c:layoutTarget val="inner"/>
          <c:xMode val="edge"/>
          <c:yMode val="edge"/>
          <c:x val="2.005698077688425E-2"/>
          <c:y val="3.7013672272944241E-2"/>
          <c:w val="0.58893311219447264"/>
          <c:h val="0.93409456802016"/>
        </c:manualLayout>
      </c:layout>
      <c:barChart>
        <c:barDir val="bar"/>
        <c:grouping val="clustered"/>
        <c:ser>
          <c:idx val="4"/>
          <c:order val="0"/>
          <c:tx>
            <c:strRef>
              <c:f>'Χρήση Διαδικτύου'!$A$46</c:f>
              <c:strCache>
                <c:ptCount val="1"/>
                <c:pt idx="0">
                  <c:v>Σύνολο</c:v>
                </c:pt>
              </c:strCache>
            </c:strRef>
          </c:tx>
          <c:spPr>
            <a:solidFill>
              <a:srgbClr val="0070C0"/>
            </a:solidFill>
          </c:spPr>
          <c:dLbls>
            <c:dLbl>
              <c:idx val="0"/>
              <c:layout>
                <c:manualLayout>
                  <c:x val="1.5945945790733263E-2"/>
                  <c:y val="0"/>
                </c:manualLayout>
              </c:layout>
              <c:tx>
                <c:rich>
                  <a:bodyPr/>
                  <a:lstStyle/>
                  <a:p>
                    <a:r>
                      <a:rPr lang="en-US"/>
                      <a:t>100,00% (</a:t>
                    </a:r>
                    <a:r>
                      <a:rPr lang="el-GR"/>
                      <a:t>στο</a:t>
                    </a:r>
                    <a:r>
                      <a:rPr lang="el-GR" baseline="0"/>
                      <a:t> δείγμα, </a:t>
                    </a:r>
                    <a:r>
                      <a:rPr lang="en-US"/>
                      <a:t>89)</a:t>
                    </a:r>
                  </a:p>
                </c:rich>
              </c:tx>
              <c:showVal val="1"/>
            </c:dLbl>
            <c:showVal val="1"/>
          </c:dLbls>
          <c:cat>
            <c:strRef>
              <c:f>'Χρήση Διαδικτύου'!$K$41</c:f>
              <c:strCache>
                <c:ptCount val="1"/>
                <c:pt idx="0">
                  <c:v>Ποσοστό</c:v>
                </c:pt>
              </c:strCache>
            </c:strRef>
          </c:cat>
          <c:val>
            <c:numRef>
              <c:f>'Χρήση Διαδικτύου'!$K$46</c:f>
              <c:numCache>
                <c:formatCode>0.00%</c:formatCode>
                <c:ptCount val="1"/>
                <c:pt idx="0">
                  <c:v>1</c:v>
                </c:pt>
              </c:numCache>
            </c:numRef>
          </c:val>
        </c:ser>
        <c:ser>
          <c:idx val="3"/>
          <c:order val="1"/>
          <c:tx>
            <c:strRef>
              <c:f>'Χρήση Διαδικτύου'!$A$45</c:f>
              <c:strCache>
                <c:ptCount val="1"/>
                <c:pt idx="0">
                  <c:v>Αυξάνεται ακόμη περισσότερο</c:v>
                </c:pt>
              </c:strCache>
            </c:strRef>
          </c:tx>
          <c:spPr>
            <a:solidFill>
              <a:srgbClr val="FF5555"/>
            </a:solidFill>
          </c:spPr>
          <c:dLbls>
            <c:showVal val="1"/>
          </c:dLbls>
          <c:cat>
            <c:strRef>
              <c:f>'Χρήση Διαδικτύου'!$K$41</c:f>
              <c:strCache>
                <c:ptCount val="1"/>
                <c:pt idx="0">
                  <c:v>Ποσοστό</c:v>
                </c:pt>
              </c:strCache>
            </c:strRef>
          </c:cat>
          <c:val>
            <c:numRef>
              <c:f>'Χρήση Διαδικτύου'!$K$45</c:f>
              <c:numCache>
                <c:formatCode>0.00%</c:formatCode>
                <c:ptCount val="1"/>
                <c:pt idx="0">
                  <c:v>8.98876404494382E-2</c:v>
                </c:pt>
              </c:numCache>
            </c:numRef>
          </c:val>
        </c:ser>
        <c:ser>
          <c:idx val="2"/>
          <c:order val="2"/>
          <c:tx>
            <c:strRef>
              <c:f>'Χρήση Διαδικτύου'!$A$44</c:f>
              <c:strCache>
                <c:ptCount val="1"/>
                <c:pt idx="0">
                  <c:v>Τριπλασιάζεται</c:v>
                </c:pt>
              </c:strCache>
            </c:strRef>
          </c:tx>
          <c:spPr>
            <a:solidFill>
              <a:srgbClr val="FF8787"/>
            </a:solidFill>
          </c:spPr>
          <c:dLbls>
            <c:showVal val="1"/>
          </c:dLbls>
          <c:cat>
            <c:strRef>
              <c:f>'Χρήση Διαδικτύου'!$K$41</c:f>
              <c:strCache>
                <c:ptCount val="1"/>
                <c:pt idx="0">
                  <c:v>Ποσοστό</c:v>
                </c:pt>
              </c:strCache>
            </c:strRef>
          </c:cat>
          <c:val>
            <c:numRef>
              <c:f>'Χρήση Διαδικτύου'!$K$44</c:f>
              <c:numCache>
                <c:formatCode>0.00%</c:formatCode>
                <c:ptCount val="1"/>
                <c:pt idx="0">
                  <c:v>0.15730337078651691</c:v>
                </c:pt>
              </c:numCache>
            </c:numRef>
          </c:val>
        </c:ser>
        <c:ser>
          <c:idx val="1"/>
          <c:order val="3"/>
          <c:tx>
            <c:strRef>
              <c:f>'Χρήση Διαδικτύου'!$A$43</c:f>
              <c:strCache>
                <c:ptCount val="1"/>
                <c:pt idx="0">
                  <c:v>Διπλασιάζεται</c:v>
                </c:pt>
              </c:strCache>
            </c:strRef>
          </c:tx>
          <c:spPr>
            <a:solidFill>
              <a:srgbClr val="FFAFAF"/>
            </a:solidFill>
          </c:spPr>
          <c:dLbls>
            <c:showVal val="1"/>
          </c:dLbls>
          <c:cat>
            <c:strRef>
              <c:f>'Χρήση Διαδικτύου'!$K$41</c:f>
              <c:strCache>
                <c:ptCount val="1"/>
                <c:pt idx="0">
                  <c:v>Ποσοστό</c:v>
                </c:pt>
              </c:strCache>
            </c:strRef>
          </c:cat>
          <c:val>
            <c:numRef>
              <c:f>'Χρήση Διαδικτύου'!$K$43</c:f>
              <c:numCache>
                <c:formatCode>0.00%</c:formatCode>
                <c:ptCount val="1"/>
                <c:pt idx="0">
                  <c:v>0.38202247191011296</c:v>
                </c:pt>
              </c:numCache>
            </c:numRef>
          </c:val>
        </c:ser>
        <c:ser>
          <c:idx val="0"/>
          <c:order val="4"/>
          <c:tx>
            <c:strRef>
              <c:f>'Χρήση Διαδικτύου'!$A$42</c:f>
              <c:strCache>
                <c:ptCount val="1"/>
                <c:pt idx="0">
                  <c:v>Παραμένει ο ίδιος</c:v>
                </c:pt>
              </c:strCache>
            </c:strRef>
          </c:tx>
          <c:spPr>
            <a:solidFill>
              <a:srgbClr val="FFDCDC"/>
            </a:solidFill>
          </c:spPr>
          <c:dLbls>
            <c:showVal val="1"/>
          </c:dLbls>
          <c:cat>
            <c:strRef>
              <c:f>'Χρήση Διαδικτύου'!$K$41</c:f>
              <c:strCache>
                <c:ptCount val="1"/>
                <c:pt idx="0">
                  <c:v>Ποσοστό</c:v>
                </c:pt>
              </c:strCache>
            </c:strRef>
          </c:cat>
          <c:val>
            <c:numRef>
              <c:f>'Χρήση Διαδικτύου'!$K$42</c:f>
              <c:numCache>
                <c:formatCode>0.00%</c:formatCode>
                <c:ptCount val="1"/>
                <c:pt idx="0">
                  <c:v>0.37078651685393282</c:v>
                </c:pt>
              </c:numCache>
            </c:numRef>
          </c:val>
        </c:ser>
        <c:gapWidth val="332"/>
        <c:overlap val="-28"/>
        <c:axId val="127527168"/>
        <c:axId val="89944064"/>
      </c:barChart>
      <c:catAx>
        <c:axId val="127527168"/>
        <c:scaling>
          <c:orientation val="minMax"/>
        </c:scaling>
        <c:delete val="1"/>
        <c:axPos val="l"/>
        <c:tickLblPos val="none"/>
        <c:crossAx val="89944064"/>
        <c:crosses val="autoZero"/>
        <c:auto val="1"/>
        <c:lblAlgn val="ctr"/>
        <c:lblOffset val="100"/>
      </c:catAx>
      <c:valAx>
        <c:axId val="89944064"/>
        <c:scaling>
          <c:orientation val="minMax"/>
        </c:scaling>
        <c:delete val="1"/>
        <c:axPos val="b"/>
        <c:numFmt formatCode="0.00%" sourceLinked="1"/>
        <c:tickLblPos val="none"/>
        <c:crossAx val="127527168"/>
        <c:crosses val="autoZero"/>
        <c:crossBetween val="between"/>
      </c:valAx>
      <c:spPr>
        <a:noFill/>
        <a:ln>
          <a:noFill/>
        </a:ln>
      </c:spPr>
    </c:plotArea>
    <c:legend>
      <c:legendPos val="r"/>
      <c:layout>
        <c:manualLayout>
          <c:xMode val="edge"/>
          <c:yMode val="edge"/>
          <c:x val="0.65632705540185865"/>
          <c:y val="0.15523135750163236"/>
          <c:w val="0.31769489962403391"/>
          <c:h val="0.71974685905378688"/>
        </c:manualLayout>
      </c:layout>
      <c:txPr>
        <a:bodyPr/>
        <a:lstStyle/>
        <a:p>
          <a:pPr>
            <a:defRPr sz="1050"/>
          </a:pPr>
          <a:endParaRPr lang="el-GR"/>
        </a:p>
      </c:txPr>
    </c:legend>
    <c:plotVisOnly val="1"/>
  </c:chart>
  <c:spPr>
    <a:noFill/>
    <a:ln>
      <a:noFill/>
    </a:ln>
  </c:spPr>
  <c:txPr>
    <a:bodyPr/>
    <a:lstStyle/>
    <a:p>
      <a:pPr>
        <a:defRPr>
          <a:latin typeface="Book Antiqua" pitchFamily="18" charset="0"/>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l-GR"/>
  <c:style val="28"/>
  <c:chart>
    <c:plotArea>
      <c:layout>
        <c:manualLayout>
          <c:layoutTarget val="inner"/>
          <c:xMode val="edge"/>
          <c:yMode val="edge"/>
          <c:x val="0.32339305176277566"/>
          <c:y val="9.5814737959199229E-4"/>
          <c:w val="0.50234375446459612"/>
          <c:h val="0.86268402406005862"/>
        </c:manualLayout>
      </c:layout>
      <c:barChart>
        <c:barDir val="bar"/>
        <c:grouping val="clustered"/>
        <c:ser>
          <c:idx val="0"/>
          <c:order val="0"/>
          <c:tx>
            <c:strRef>
              <c:f>'Χρήση Διαδικτύου'!$B$41</c:f>
              <c:strCache>
                <c:ptCount val="1"/>
                <c:pt idx="0">
                  <c:v>&lt;0-1&gt;</c:v>
                </c:pt>
              </c:strCache>
            </c:strRef>
          </c:tx>
          <c:spPr>
            <a:solidFill>
              <a:srgbClr val="F9EDED"/>
            </a:solidFill>
          </c:spPr>
          <c:dLbls>
            <c:delete val="1"/>
          </c:dLbls>
          <c:cat>
            <c:strRef>
              <c:f>'Χρήση Διαδικτύου'!$A$42:$A$45</c:f>
              <c:strCache>
                <c:ptCount val="4"/>
                <c:pt idx="0">
                  <c:v>Παραμένει ο ίδιος</c:v>
                </c:pt>
                <c:pt idx="1">
                  <c:v>Διπλασιάζεται</c:v>
                </c:pt>
                <c:pt idx="2">
                  <c:v>Τριπλασιάζεται</c:v>
                </c:pt>
                <c:pt idx="3">
                  <c:v>Αυξάνεται ακόμη περισσότερο</c:v>
                </c:pt>
              </c:strCache>
            </c:strRef>
          </c:cat>
          <c:val>
            <c:numRef>
              <c:f>'Χρήση Διαδικτύου'!$C$42:$C$45</c:f>
              <c:numCache>
                <c:formatCode>0.00%</c:formatCode>
                <c:ptCount val="4"/>
                <c:pt idx="0">
                  <c:v>0.24242424242424257</c:v>
                </c:pt>
                <c:pt idx="1">
                  <c:v>0.11764705882352942</c:v>
                </c:pt>
                <c:pt idx="2">
                  <c:v>0.14285714285714302</c:v>
                </c:pt>
                <c:pt idx="3">
                  <c:v>0.125</c:v>
                </c:pt>
              </c:numCache>
            </c:numRef>
          </c:val>
        </c:ser>
        <c:ser>
          <c:idx val="2"/>
          <c:order val="1"/>
          <c:tx>
            <c:strRef>
              <c:f>'Χρήση Διαδικτύου'!$D$41</c:f>
              <c:strCache>
                <c:ptCount val="1"/>
                <c:pt idx="0">
                  <c:v>&lt;1-3&gt;</c:v>
                </c:pt>
              </c:strCache>
            </c:strRef>
          </c:tx>
          <c:spPr>
            <a:solidFill>
              <a:srgbClr val="E6B4B4"/>
            </a:solidFill>
          </c:spPr>
          <c:dLbls>
            <c:delete val="1"/>
          </c:dLbls>
          <c:cat>
            <c:strRef>
              <c:f>'Χρήση Διαδικτύου'!$A$42:$A$45</c:f>
              <c:strCache>
                <c:ptCount val="4"/>
                <c:pt idx="0">
                  <c:v>Παραμένει ο ίδιος</c:v>
                </c:pt>
                <c:pt idx="1">
                  <c:v>Διπλασιάζεται</c:v>
                </c:pt>
                <c:pt idx="2">
                  <c:v>Τριπλασιάζεται</c:v>
                </c:pt>
                <c:pt idx="3">
                  <c:v>Αυξάνεται ακόμη περισσότερο</c:v>
                </c:pt>
              </c:strCache>
            </c:strRef>
          </c:cat>
          <c:val>
            <c:numRef>
              <c:f>'Χρήση Διαδικτύου'!$E$42:$E$45</c:f>
              <c:numCache>
                <c:formatCode>0.00%</c:formatCode>
                <c:ptCount val="4"/>
                <c:pt idx="0">
                  <c:v>0.5757575757575758</c:v>
                </c:pt>
                <c:pt idx="1">
                  <c:v>0.70588235294117663</c:v>
                </c:pt>
                <c:pt idx="2">
                  <c:v>0.78571428571428559</c:v>
                </c:pt>
                <c:pt idx="3">
                  <c:v>0.125</c:v>
                </c:pt>
              </c:numCache>
            </c:numRef>
          </c:val>
        </c:ser>
        <c:ser>
          <c:idx val="4"/>
          <c:order val="2"/>
          <c:tx>
            <c:strRef>
              <c:f>'Χρήση Διαδικτύου'!$F$41</c:f>
              <c:strCache>
                <c:ptCount val="1"/>
                <c:pt idx="0">
                  <c:v>&lt;3-5&gt;</c:v>
                </c:pt>
              </c:strCache>
            </c:strRef>
          </c:tx>
          <c:spPr>
            <a:solidFill>
              <a:srgbClr val="D47A7A"/>
            </a:solidFill>
          </c:spPr>
          <c:dLbls>
            <c:delete val="1"/>
          </c:dLbls>
          <c:cat>
            <c:strRef>
              <c:f>'Χρήση Διαδικτύου'!$A$42:$A$45</c:f>
              <c:strCache>
                <c:ptCount val="4"/>
                <c:pt idx="0">
                  <c:v>Παραμένει ο ίδιος</c:v>
                </c:pt>
                <c:pt idx="1">
                  <c:v>Διπλασιάζεται</c:v>
                </c:pt>
                <c:pt idx="2">
                  <c:v>Τριπλασιάζεται</c:v>
                </c:pt>
                <c:pt idx="3">
                  <c:v>Αυξάνεται ακόμη περισσότερο</c:v>
                </c:pt>
              </c:strCache>
            </c:strRef>
          </c:cat>
          <c:val>
            <c:numRef>
              <c:f>'Χρήση Διαδικτύου'!$G$42:$G$45</c:f>
              <c:numCache>
                <c:formatCode>0.00%</c:formatCode>
                <c:ptCount val="4"/>
                <c:pt idx="0">
                  <c:v>0.15151515151515177</c:v>
                </c:pt>
                <c:pt idx="1">
                  <c:v>0.14705882352941191</c:v>
                </c:pt>
                <c:pt idx="2">
                  <c:v>0</c:v>
                </c:pt>
                <c:pt idx="3">
                  <c:v>0.37500000000000028</c:v>
                </c:pt>
              </c:numCache>
            </c:numRef>
          </c:val>
        </c:ser>
        <c:ser>
          <c:idx val="6"/>
          <c:order val="3"/>
          <c:tx>
            <c:strRef>
              <c:f>'Χρήση Διαδικτύου'!$H$41</c:f>
              <c:strCache>
                <c:ptCount val="1"/>
                <c:pt idx="0">
                  <c:v>&lt;5 και άνω&gt;</c:v>
                </c:pt>
              </c:strCache>
            </c:strRef>
          </c:tx>
          <c:spPr>
            <a:solidFill>
              <a:srgbClr val="BA3C3C"/>
            </a:solidFill>
          </c:spPr>
          <c:dLbls>
            <c:delete val="1"/>
          </c:dLbls>
          <c:cat>
            <c:strRef>
              <c:f>'Χρήση Διαδικτύου'!$A$42:$A$45</c:f>
              <c:strCache>
                <c:ptCount val="4"/>
                <c:pt idx="0">
                  <c:v>Παραμένει ο ίδιος</c:v>
                </c:pt>
                <c:pt idx="1">
                  <c:v>Διπλασιάζεται</c:v>
                </c:pt>
                <c:pt idx="2">
                  <c:v>Τριπλασιάζεται</c:v>
                </c:pt>
                <c:pt idx="3">
                  <c:v>Αυξάνεται ακόμη περισσότερο</c:v>
                </c:pt>
              </c:strCache>
            </c:strRef>
          </c:cat>
          <c:val>
            <c:numRef>
              <c:f>'Χρήση Διαδικτύου'!$I$42:$I$45</c:f>
              <c:numCache>
                <c:formatCode>0.00%</c:formatCode>
                <c:ptCount val="4"/>
                <c:pt idx="0">
                  <c:v>3.0303030303030311E-2</c:v>
                </c:pt>
                <c:pt idx="1">
                  <c:v>2.9411764705882353E-2</c:v>
                </c:pt>
                <c:pt idx="2">
                  <c:v>7.1428571428571425E-2</c:v>
                </c:pt>
                <c:pt idx="3">
                  <c:v>0.37500000000000028</c:v>
                </c:pt>
              </c:numCache>
            </c:numRef>
          </c:val>
        </c:ser>
        <c:dLbls>
          <c:showVal val="1"/>
        </c:dLbls>
        <c:gapWidth val="75"/>
        <c:axId val="89966080"/>
        <c:axId val="89967616"/>
      </c:barChart>
      <c:catAx>
        <c:axId val="89966080"/>
        <c:scaling>
          <c:orientation val="minMax"/>
        </c:scaling>
        <c:axPos val="l"/>
        <c:majorGridlines/>
        <c:majorTickMark val="none"/>
        <c:tickLblPos val="nextTo"/>
        <c:txPr>
          <a:bodyPr/>
          <a:lstStyle/>
          <a:p>
            <a:pPr>
              <a:defRPr sz="1000" b="1"/>
            </a:pPr>
            <a:endParaRPr lang="el-GR"/>
          </a:p>
        </c:txPr>
        <c:crossAx val="89967616"/>
        <c:crosses val="autoZero"/>
        <c:auto val="1"/>
        <c:lblAlgn val="ctr"/>
        <c:lblOffset val="100"/>
      </c:catAx>
      <c:valAx>
        <c:axId val="89967616"/>
        <c:scaling>
          <c:orientation val="minMax"/>
        </c:scaling>
        <c:axPos val="b"/>
        <c:majorGridlines>
          <c:spPr>
            <a:ln>
              <a:prstDash val="dash"/>
            </a:ln>
          </c:spPr>
        </c:majorGridlines>
        <c:numFmt formatCode="0%" sourceLinked="0"/>
        <c:majorTickMark val="none"/>
        <c:tickLblPos val="nextTo"/>
        <c:txPr>
          <a:bodyPr/>
          <a:lstStyle/>
          <a:p>
            <a:pPr>
              <a:defRPr sz="1000"/>
            </a:pPr>
            <a:endParaRPr lang="el-GR"/>
          </a:p>
        </c:txPr>
        <c:crossAx val="89966080"/>
        <c:crosses val="autoZero"/>
        <c:crossBetween val="between"/>
      </c:valAx>
      <c:spPr>
        <a:noFill/>
      </c:spPr>
    </c:plotArea>
    <c:legend>
      <c:legendPos val="b"/>
      <c:layout>
        <c:manualLayout>
          <c:xMode val="edge"/>
          <c:yMode val="edge"/>
          <c:x val="0.83529665323716362"/>
          <c:y val="0.15851876400028286"/>
          <c:w val="0.15235440826506341"/>
          <c:h val="0.40323841327580862"/>
        </c:manualLayout>
      </c:layout>
      <c:txPr>
        <a:bodyPr/>
        <a:lstStyle/>
        <a:p>
          <a:pPr>
            <a:defRPr sz="1000"/>
          </a:pPr>
          <a:endParaRPr lang="el-GR"/>
        </a:p>
      </c:txPr>
    </c:legend>
    <c:plotVisOnly val="1"/>
  </c:chart>
  <c:spPr>
    <a:noFill/>
    <a:ln>
      <a:noFill/>
    </a:ln>
  </c:spPr>
  <c:txPr>
    <a:bodyPr/>
    <a:lstStyle/>
    <a:p>
      <a:pPr>
        <a:defRPr sz="1100">
          <a:latin typeface="Book Antiqua" pitchFamily="18" charset="0"/>
        </a:defRPr>
      </a:pPr>
      <a:endParaRPr lang="el-G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style val="26"/>
  <c:chart>
    <c:plotArea>
      <c:layout>
        <c:manualLayout>
          <c:layoutTarget val="inner"/>
          <c:xMode val="edge"/>
          <c:yMode val="edge"/>
          <c:x val="5.8386920384951926E-2"/>
          <c:y val="3.0247929046043998E-2"/>
          <c:w val="0.80512175663052776"/>
          <c:h val="0.7757257969689304"/>
        </c:manualLayout>
      </c:layout>
      <c:barChart>
        <c:barDir val="col"/>
        <c:grouping val="stacked"/>
        <c:ser>
          <c:idx val="0"/>
          <c:order val="0"/>
          <c:tx>
            <c:strRef>
              <c:f>'Χρήση Διαδικτύου'!$B$67</c:f>
              <c:strCache>
                <c:ptCount val="1"/>
                <c:pt idx="0">
                  <c:v>Κορίτσια </c:v>
                </c:pt>
              </c:strCache>
            </c:strRef>
          </c:tx>
          <c:spPr>
            <a:solidFill>
              <a:schemeClr val="accent2"/>
            </a:solidFill>
          </c:spPr>
          <c:cat>
            <c:strRef>
              <c:f>'Χρήση Διαδικτύου'!$A$68:$A$72</c:f>
              <c:strCache>
                <c:ptCount val="5"/>
                <c:pt idx="0">
                  <c:v>Καθόλου </c:v>
                </c:pt>
                <c:pt idx="1">
                  <c:v>Λιγότερο από τον μισό χρόνο</c:v>
                </c:pt>
                <c:pt idx="2">
                  <c:v>Περίπου τον μισό χρόνο</c:v>
                </c:pt>
                <c:pt idx="3">
                  <c:v>Περισσότερο από τον μισό</c:v>
                </c:pt>
                <c:pt idx="4">
                  <c:v>Σχεδόν όλο</c:v>
                </c:pt>
              </c:strCache>
            </c:strRef>
          </c:cat>
          <c:val>
            <c:numRef>
              <c:f>'Χρήση Διαδικτύου'!$B$68:$B$72</c:f>
              <c:numCache>
                <c:formatCode>General</c:formatCode>
                <c:ptCount val="5"/>
                <c:pt idx="0">
                  <c:v>35</c:v>
                </c:pt>
                <c:pt idx="1">
                  <c:v>8</c:v>
                </c:pt>
                <c:pt idx="2">
                  <c:v>2</c:v>
                </c:pt>
                <c:pt idx="3">
                  <c:v>1</c:v>
                </c:pt>
                <c:pt idx="4">
                  <c:v>1</c:v>
                </c:pt>
              </c:numCache>
            </c:numRef>
          </c:val>
        </c:ser>
        <c:ser>
          <c:idx val="2"/>
          <c:order val="1"/>
          <c:tx>
            <c:strRef>
              <c:f>'Χρήση Διαδικτύου'!$D$67</c:f>
              <c:strCache>
                <c:ptCount val="1"/>
                <c:pt idx="0">
                  <c:v>Αγόρια</c:v>
                </c:pt>
              </c:strCache>
            </c:strRef>
          </c:tx>
          <c:spPr>
            <a:solidFill>
              <a:schemeClr val="accent1"/>
            </a:solidFill>
          </c:spPr>
          <c:cat>
            <c:strRef>
              <c:f>'Χρήση Διαδικτύου'!$A$68:$A$72</c:f>
              <c:strCache>
                <c:ptCount val="5"/>
                <c:pt idx="0">
                  <c:v>Καθόλου </c:v>
                </c:pt>
                <c:pt idx="1">
                  <c:v>Λιγότερο από τον μισό χρόνο</c:v>
                </c:pt>
                <c:pt idx="2">
                  <c:v>Περίπου τον μισό χρόνο</c:v>
                </c:pt>
                <c:pt idx="3">
                  <c:v>Περισσότερο από τον μισό</c:v>
                </c:pt>
                <c:pt idx="4">
                  <c:v>Σχεδόν όλο</c:v>
                </c:pt>
              </c:strCache>
            </c:strRef>
          </c:cat>
          <c:val>
            <c:numRef>
              <c:f>'Χρήση Διαδικτύου'!$D$68:$D$72</c:f>
              <c:numCache>
                <c:formatCode>General</c:formatCode>
                <c:ptCount val="5"/>
                <c:pt idx="0">
                  <c:v>6</c:v>
                </c:pt>
                <c:pt idx="1">
                  <c:v>14</c:v>
                </c:pt>
                <c:pt idx="2">
                  <c:v>12</c:v>
                </c:pt>
                <c:pt idx="3">
                  <c:v>8</c:v>
                </c:pt>
                <c:pt idx="4">
                  <c:v>2</c:v>
                </c:pt>
              </c:numCache>
            </c:numRef>
          </c:val>
        </c:ser>
        <c:overlap val="100"/>
        <c:axId val="132467712"/>
        <c:axId val="132481792"/>
      </c:barChart>
      <c:catAx>
        <c:axId val="132467712"/>
        <c:scaling>
          <c:orientation val="minMax"/>
        </c:scaling>
        <c:axPos val="b"/>
        <c:tickLblPos val="nextTo"/>
        <c:txPr>
          <a:bodyPr/>
          <a:lstStyle/>
          <a:p>
            <a:pPr>
              <a:defRPr b="1">
                <a:latin typeface="Book Antiqua" pitchFamily="18" charset="0"/>
              </a:defRPr>
            </a:pPr>
            <a:endParaRPr lang="el-GR"/>
          </a:p>
        </c:txPr>
        <c:crossAx val="132481792"/>
        <c:crosses val="autoZero"/>
        <c:auto val="1"/>
        <c:lblAlgn val="ctr"/>
        <c:lblOffset val="100"/>
      </c:catAx>
      <c:valAx>
        <c:axId val="132481792"/>
        <c:scaling>
          <c:orientation val="minMax"/>
        </c:scaling>
        <c:axPos val="l"/>
        <c:numFmt formatCode="General" sourceLinked="1"/>
        <c:tickLblPos val="nextTo"/>
        <c:crossAx val="132467712"/>
        <c:crosses val="autoZero"/>
        <c:crossBetween val="between"/>
      </c:valAx>
      <c:spPr>
        <a:noFill/>
        <a:ln>
          <a:noFill/>
        </a:ln>
      </c:spPr>
    </c:plotArea>
    <c:legend>
      <c:legendPos val="r"/>
      <c:txPr>
        <a:bodyPr/>
        <a:lstStyle/>
        <a:p>
          <a:pPr>
            <a:defRPr>
              <a:latin typeface="Book Antiqua" pitchFamily="18" charset="0"/>
            </a:defRPr>
          </a:pPr>
          <a:endParaRPr lang="el-GR"/>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l-GR"/>
  <c:style val="26"/>
  <c:chart>
    <c:title>
      <c:tx>
        <c:rich>
          <a:bodyPr/>
          <a:lstStyle/>
          <a:p>
            <a:pPr>
              <a:defRPr sz="1100">
                <a:latin typeface="Book Antiqua" pitchFamily="18" charset="0"/>
              </a:defRPr>
            </a:pPr>
            <a:r>
              <a:rPr lang="el-GR" sz="1100">
                <a:latin typeface="Book Antiqua" pitchFamily="18" charset="0"/>
              </a:rPr>
              <a:t>Συμφωνείτε με τη θέση ότι τα </a:t>
            </a:r>
            <a:r>
              <a:rPr lang="en-US" sz="1100">
                <a:latin typeface="Book Antiqua" pitchFamily="18" charset="0"/>
              </a:rPr>
              <a:t>eSports</a:t>
            </a:r>
            <a:r>
              <a:rPr lang="el-GR" sz="1100">
                <a:latin typeface="Book Antiqua" pitchFamily="18" charset="0"/>
              </a:rPr>
              <a:t> μπορούν να αποτελέσουν επίσημο άθλημα Ολυμπιακών αγώνων;</a:t>
            </a:r>
          </a:p>
        </c:rich>
      </c:tx>
    </c:title>
    <c:plotArea>
      <c:layout/>
      <c:barChart>
        <c:barDir val="bar"/>
        <c:grouping val="clustered"/>
        <c:ser>
          <c:idx val="0"/>
          <c:order val="0"/>
          <c:tx>
            <c:strRef>
              <c:f>eSprorts!$A$35</c:f>
              <c:strCache>
                <c:ptCount val="1"/>
                <c:pt idx="0">
                  <c:v>Επίσημο άθλημα</c:v>
                </c:pt>
              </c:strCache>
            </c:strRef>
          </c:tx>
          <c:dLbls>
            <c:txPr>
              <a:bodyPr/>
              <a:lstStyle/>
              <a:p>
                <a:pPr>
                  <a:defRPr>
                    <a:latin typeface="Book Antiqua" pitchFamily="18" charset="0"/>
                  </a:defRPr>
                </a:pPr>
                <a:endParaRPr lang="el-GR"/>
              </a:p>
            </c:txPr>
            <c:showVal val="1"/>
          </c:dLbls>
          <c:cat>
            <c:strRef>
              <c:f>eSprorts!$B$34:$F$34</c:f>
              <c:strCache>
                <c:ptCount val="5"/>
                <c:pt idx="0">
                  <c:v>Ναι</c:v>
                </c:pt>
                <c:pt idx="1">
                  <c:v>Γιατί όχι;!</c:v>
                </c:pt>
                <c:pt idx="2">
                  <c:v>Μάλλον όχι</c:v>
                </c:pt>
                <c:pt idx="3">
                  <c:v>Όχι</c:v>
                </c:pt>
                <c:pt idx="4">
                  <c:v>Δεν γνωρίζω</c:v>
                </c:pt>
              </c:strCache>
            </c:strRef>
          </c:cat>
          <c:val>
            <c:numRef>
              <c:f>eSprorts!$B$36:$F$36</c:f>
              <c:numCache>
                <c:formatCode>0.00%</c:formatCode>
                <c:ptCount val="5"/>
                <c:pt idx="0">
                  <c:v>0.12359550561797752</c:v>
                </c:pt>
                <c:pt idx="1">
                  <c:v>0.1910112359550562</c:v>
                </c:pt>
                <c:pt idx="2">
                  <c:v>0.15730337078651691</c:v>
                </c:pt>
                <c:pt idx="3">
                  <c:v>0.31460674157303381</c:v>
                </c:pt>
                <c:pt idx="4">
                  <c:v>0.213483146067416</c:v>
                </c:pt>
              </c:numCache>
            </c:numRef>
          </c:val>
        </c:ser>
        <c:axId val="132497792"/>
        <c:axId val="132499328"/>
      </c:barChart>
      <c:catAx>
        <c:axId val="132497792"/>
        <c:scaling>
          <c:orientation val="minMax"/>
        </c:scaling>
        <c:axPos val="l"/>
        <c:tickLblPos val="nextTo"/>
        <c:txPr>
          <a:bodyPr/>
          <a:lstStyle/>
          <a:p>
            <a:pPr>
              <a:defRPr b="1">
                <a:latin typeface="Book Antiqua" pitchFamily="18" charset="0"/>
              </a:defRPr>
            </a:pPr>
            <a:endParaRPr lang="el-GR"/>
          </a:p>
        </c:txPr>
        <c:crossAx val="132499328"/>
        <c:crosses val="autoZero"/>
        <c:auto val="1"/>
        <c:lblAlgn val="ctr"/>
        <c:lblOffset val="100"/>
      </c:catAx>
      <c:valAx>
        <c:axId val="132499328"/>
        <c:scaling>
          <c:orientation val="minMax"/>
        </c:scaling>
        <c:delete val="1"/>
        <c:axPos val="b"/>
        <c:numFmt formatCode="0.00%" sourceLinked="1"/>
        <c:tickLblPos val="none"/>
        <c:crossAx val="132497792"/>
        <c:crosses val="autoZero"/>
        <c:crossBetween val="between"/>
      </c:valAx>
      <c:spPr>
        <a:noFill/>
        <a:ln w="25400">
          <a:noFill/>
        </a:ln>
      </c:spPr>
    </c:plotArea>
    <c:plotVisOnly val="1"/>
  </c:chart>
  <c:spPr>
    <a:noFill/>
    <a:ln>
      <a:noFill/>
    </a:ln>
  </c:sp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06F37-1025-411C-B5D0-01B958DF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9329</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Corporate Edition</cp:lastModifiedBy>
  <cp:revision>2</cp:revision>
  <dcterms:created xsi:type="dcterms:W3CDTF">2018-06-05T10:45:00Z</dcterms:created>
  <dcterms:modified xsi:type="dcterms:W3CDTF">2018-06-05T10:45:00Z</dcterms:modified>
</cp:coreProperties>
</file>