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1E0"/>
      </w:tblPr>
      <w:tblGrid>
        <w:gridCol w:w="4361"/>
        <w:gridCol w:w="5729"/>
      </w:tblGrid>
      <w:tr w:rsidR="007063AF" w:rsidRPr="002D597E" w:rsidTr="006F3C01">
        <w:tc>
          <w:tcPr>
            <w:tcW w:w="4361" w:type="dxa"/>
            <w:vAlign w:val="center"/>
          </w:tcPr>
          <w:p w:rsidR="007063AF" w:rsidRPr="002D597E" w:rsidRDefault="007063AF" w:rsidP="006F3C01">
            <w:pPr>
              <w:jc w:val="center"/>
              <w:outlineLvl w:val="0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/>
                <w:noProof/>
                <w:sz w:val="20"/>
                <w:lang w:eastAsia="el-GR"/>
              </w:rPr>
              <w:drawing>
                <wp:inline distT="0" distB="0" distL="0" distR="0">
                  <wp:extent cx="596900" cy="5969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9" w:type="dxa"/>
            <w:vAlign w:val="center"/>
          </w:tcPr>
          <w:p w:rsidR="007063AF" w:rsidRPr="002D597E" w:rsidRDefault="007063AF" w:rsidP="006F3C01">
            <w:pPr>
              <w:spacing w:line="360" w:lineRule="auto"/>
              <w:ind w:left="459" w:hanging="424"/>
              <w:rPr>
                <w:rFonts w:ascii="Garamond" w:hAnsi="Garamond"/>
                <w:b/>
                <w:szCs w:val="24"/>
                <w:lang w:val="en-US"/>
              </w:rPr>
            </w:pPr>
            <w:r w:rsidRPr="002D597E">
              <w:rPr>
                <w:rFonts w:ascii="Garamond" w:hAnsi="Garamond"/>
                <w:b/>
                <w:szCs w:val="24"/>
              </w:rPr>
              <w:t>ΣΧΟΛΙΚΟ ΕΤΟΣ:  20</w:t>
            </w:r>
            <w:r>
              <w:rPr>
                <w:rFonts w:ascii="Garamond" w:hAnsi="Garamond"/>
                <w:b/>
                <w:szCs w:val="24"/>
              </w:rPr>
              <w:t>21-22</w:t>
            </w:r>
          </w:p>
        </w:tc>
      </w:tr>
      <w:tr w:rsidR="007063AF" w:rsidRPr="002D597E" w:rsidTr="006F3C01">
        <w:tc>
          <w:tcPr>
            <w:tcW w:w="4361" w:type="dxa"/>
            <w:vAlign w:val="center"/>
          </w:tcPr>
          <w:p w:rsidR="007063AF" w:rsidRPr="002D597E" w:rsidRDefault="007063AF" w:rsidP="006F3C01">
            <w:pPr>
              <w:jc w:val="center"/>
              <w:outlineLvl w:val="0"/>
              <w:rPr>
                <w:rFonts w:ascii="Garamond" w:hAnsi="Garamond"/>
                <w:b/>
                <w:sz w:val="28"/>
                <w:szCs w:val="28"/>
              </w:rPr>
            </w:pPr>
            <w:r w:rsidRPr="002D597E">
              <w:rPr>
                <w:rFonts w:ascii="Garamond" w:hAnsi="Garamond" w:cs="Arial"/>
                <w:b/>
                <w:sz w:val="28"/>
                <w:szCs w:val="28"/>
              </w:rPr>
              <w:t>ΕΛΛΗΝΙΚΗ ΔΗΜΟΚΡΑΤΙΑ</w:t>
            </w:r>
          </w:p>
        </w:tc>
        <w:tc>
          <w:tcPr>
            <w:tcW w:w="5729" w:type="dxa"/>
            <w:vAlign w:val="center"/>
          </w:tcPr>
          <w:p w:rsidR="007063AF" w:rsidRPr="002D597E" w:rsidRDefault="007063AF" w:rsidP="006F3C01">
            <w:pPr>
              <w:spacing w:line="360" w:lineRule="auto"/>
              <w:ind w:left="459" w:hanging="424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/>
                <w:b/>
                <w:szCs w:val="24"/>
              </w:rPr>
              <w:t>ΕΞΕΤΑΣΤΙΚΗ ΠΕΡΙΟΔΟΣ: Μαΐου – Ιουνίου 20</w:t>
            </w:r>
            <w:r>
              <w:rPr>
                <w:rFonts w:ascii="Garamond" w:hAnsi="Garamond"/>
                <w:b/>
                <w:szCs w:val="24"/>
              </w:rPr>
              <w:t>22</w:t>
            </w:r>
          </w:p>
        </w:tc>
      </w:tr>
      <w:tr w:rsidR="007063AF" w:rsidRPr="002D597E" w:rsidTr="006F3C01">
        <w:tc>
          <w:tcPr>
            <w:tcW w:w="4361" w:type="dxa"/>
            <w:vAlign w:val="center"/>
          </w:tcPr>
          <w:p w:rsidR="007063AF" w:rsidRPr="002D597E" w:rsidRDefault="007063AF" w:rsidP="006F3C01">
            <w:pPr>
              <w:jc w:val="center"/>
              <w:outlineLvl w:val="0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 w:cs="Arial"/>
                <w:b/>
                <w:szCs w:val="24"/>
              </w:rPr>
              <w:t>ΥΠΟΥΡ</w:t>
            </w:r>
            <w:r w:rsidRPr="002D597E">
              <w:rPr>
                <w:rFonts w:ascii="Garamond" w:hAnsi="Garamond" w:cs="Arial"/>
                <w:b/>
              </w:rPr>
              <w:t>ΓΕΙΟ ΠΑΙΔΕΙΑΣ</w:t>
            </w:r>
            <w:r w:rsidRPr="002D597E">
              <w:rPr>
                <w:rFonts w:ascii="Garamond" w:hAnsi="Garamond" w:cs="Arial"/>
                <w:b/>
                <w:lang w:val="en-US"/>
              </w:rPr>
              <w:t>,</w:t>
            </w:r>
            <w:r w:rsidRPr="002D597E">
              <w:rPr>
                <w:rFonts w:ascii="Garamond" w:hAnsi="Garamond" w:cs="Arial"/>
                <w:b/>
              </w:rPr>
              <w:t>&amp; ΘΡΗΣΚΕΥΜΑΤΩΝ</w:t>
            </w:r>
          </w:p>
        </w:tc>
        <w:tc>
          <w:tcPr>
            <w:tcW w:w="5729" w:type="dxa"/>
            <w:vAlign w:val="center"/>
          </w:tcPr>
          <w:p w:rsidR="007063AF" w:rsidRPr="002D597E" w:rsidRDefault="007063AF" w:rsidP="006F3C01">
            <w:pPr>
              <w:ind w:left="459" w:hanging="424"/>
              <w:outlineLvl w:val="0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/>
                <w:b/>
                <w:szCs w:val="24"/>
              </w:rPr>
              <w:t>ΤΑΞΗ:</w:t>
            </w:r>
            <w:r>
              <w:rPr>
                <w:rFonts w:ascii="Garamond" w:hAnsi="Garamond"/>
                <w:b/>
                <w:szCs w:val="24"/>
              </w:rPr>
              <w:t xml:space="preserve"> Α ΛΥΚΕΙΟΥ</w:t>
            </w:r>
          </w:p>
        </w:tc>
      </w:tr>
      <w:tr w:rsidR="007063AF" w:rsidRPr="002D597E" w:rsidTr="006F3C01">
        <w:tc>
          <w:tcPr>
            <w:tcW w:w="4361" w:type="dxa"/>
            <w:vAlign w:val="center"/>
          </w:tcPr>
          <w:p w:rsidR="007063AF" w:rsidRPr="002D597E" w:rsidRDefault="007063AF" w:rsidP="006F3C01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/>
                <w:b/>
                <w:szCs w:val="24"/>
              </w:rPr>
              <w:t xml:space="preserve">ΠΕΡ. Δ/ΝΣΗ </w:t>
            </w:r>
            <w:r>
              <w:rPr>
                <w:rFonts w:ascii="Garamond" w:hAnsi="Garamond"/>
                <w:b/>
                <w:szCs w:val="24"/>
              </w:rPr>
              <w:t>Π. &amp;</w:t>
            </w:r>
            <w:r w:rsidRPr="002D597E">
              <w:rPr>
                <w:rFonts w:ascii="Garamond" w:hAnsi="Garamond"/>
                <w:b/>
                <w:szCs w:val="24"/>
              </w:rPr>
              <w:t>Δ. ΕΚΠ/ΣΗΣ ΔΥΤ. ΕΛΛΑΔΑΣ</w:t>
            </w:r>
          </w:p>
          <w:p w:rsidR="007063AF" w:rsidRPr="002D597E" w:rsidRDefault="007063AF" w:rsidP="006F3C01">
            <w:pPr>
              <w:jc w:val="center"/>
              <w:outlineLvl w:val="0"/>
              <w:rPr>
                <w:rFonts w:ascii="Garamond" w:hAnsi="Garamond"/>
                <w:b/>
                <w:szCs w:val="24"/>
              </w:rPr>
            </w:pPr>
            <w:r w:rsidRPr="002D597E">
              <w:rPr>
                <w:rFonts w:ascii="Garamond" w:hAnsi="Garamond"/>
                <w:b/>
                <w:szCs w:val="24"/>
              </w:rPr>
              <w:t>Δ/ΝΣΗ Δ. Ε. ΑΧΑΪΑΣ</w:t>
            </w:r>
          </w:p>
        </w:tc>
        <w:tc>
          <w:tcPr>
            <w:tcW w:w="5729" w:type="dxa"/>
            <w:vAlign w:val="center"/>
          </w:tcPr>
          <w:p w:rsidR="007063AF" w:rsidRPr="002D597E" w:rsidRDefault="007063AF" w:rsidP="008D43E5">
            <w:pPr>
              <w:spacing w:line="360" w:lineRule="auto"/>
              <w:ind w:left="459" w:hanging="424"/>
              <w:rPr>
                <w:rFonts w:ascii="Garamond" w:hAnsi="Garamond"/>
                <w:b/>
                <w:sz w:val="28"/>
                <w:szCs w:val="28"/>
              </w:rPr>
            </w:pPr>
            <w:r w:rsidRPr="002D597E">
              <w:rPr>
                <w:rFonts w:ascii="Garamond" w:hAnsi="Garamond"/>
                <w:b/>
                <w:sz w:val="28"/>
                <w:szCs w:val="28"/>
              </w:rPr>
              <w:t xml:space="preserve">ΚΛΕΙΤΟΡΙΑ, </w:t>
            </w:r>
            <w:r>
              <w:rPr>
                <w:rFonts w:ascii="Garamond" w:hAnsi="Garamond"/>
                <w:b/>
                <w:sz w:val="28"/>
                <w:szCs w:val="28"/>
              </w:rPr>
              <w:t>1</w:t>
            </w:r>
            <w:r w:rsidR="008D43E5">
              <w:rPr>
                <w:rFonts w:ascii="Garamond" w:hAnsi="Garamond"/>
                <w:b/>
                <w:sz w:val="28"/>
                <w:szCs w:val="28"/>
              </w:rPr>
              <w:t>3</w:t>
            </w:r>
            <w:r w:rsidRPr="002D597E">
              <w:rPr>
                <w:rFonts w:ascii="Garamond" w:hAnsi="Garamond"/>
                <w:b/>
                <w:sz w:val="28"/>
                <w:szCs w:val="28"/>
              </w:rPr>
              <w:t xml:space="preserve">/ </w:t>
            </w:r>
            <w:r>
              <w:rPr>
                <w:rFonts w:ascii="Garamond" w:hAnsi="Garamond"/>
                <w:b/>
                <w:sz w:val="28"/>
                <w:szCs w:val="28"/>
              </w:rPr>
              <w:t>05</w:t>
            </w:r>
            <w:r w:rsidRPr="002D597E">
              <w:rPr>
                <w:rFonts w:ascii="Garamond" w:hAnsi="Garamond"/>
                <w:b/>
                <w:sz w:val="28"/>
                <w:szCs w:val="28"/>
              </w:rPr>
              <w:t>/ 20</w:t>
            </w:r>
            <w:r>
              <w:rPr>
                <w:rFonts w:ascii="Garamond" w:hAnsi="Garamond"/>
                <w:b/>
                <w:sz w:val="28"/>
                <w:szCs w:val="28"/>
              </w:rPr>
              <w:t>22</w:t>
            </w:r>
          </w:p>
        </w:tc>
      </w:tr>
      <w:tr w:rsidR="007063AF" w:rsidRPr="002D597E" w:rsidTr="006F3C01">
        <w:tc>
          <w:tcPr>
            <w:tcW w:w="4361" w:type="dxa"/>
            <w:vAlign w:val="center"/>
          </w:tcPr>
          <w:p w:rsidR="007063AF" w:rsidRPr="002D597E" w:rsidRDefault="007063AF" w:rsidP="006F3C01">
            <w:pPr>
              <w:pStyle w:val="4"/>
              <w:rPr>
                <w:rFonts w:ascii="Garamond" w:hAnsi="Garamond"/>
                <w:spacing w:val="0"/>
                <w:sz w:val="24"/>
                <w:szCs w:val="24"/>
              </w:rPr>
            </w:pPr>
            <w:r w:rsidRPr="002D597E">
              <w:rPr>
                <w:rFonts w:ascii="Garamond" w:hAnsi="Garamond"/>
              </w:rPr>
              <w:t>ΓΕΝΙΚΟ ΛΥΚΕΙΟ ΚΛΕΙΤΟΡΙΑΣ</w:t>
            </w:r>
          </w:p>
        </w:tc>
        <w:tc>
          <w:tcPr>
            <w:tcW w:w="5729" w:type="dxa"/>
            <w:vAlign w:val="center"/>
          </w:tcPr>
          <w:p w:rsidR="007063AF" w:rsidRPr="002D597E" w:rsidRDefault="007063AF" w:rsidP="006F3C01">
            <w:pPr>
              <w:ind w:left="459" w:hanging="424"/>
              <w:outlineLvl w:val="0"/>
              <w:rPr>
                <w:rFonts w:ascii="Garamond" w:hAnsi="Garamond"/>
                <w:b/>
                <w:szCs w:val="24"/>
              </w:rPr>
            </w:pPr>
          </w:p>
        </w:tc>
      </w:tr>
    </w:tbl>
    <w:p w:rsidR="007063AF" w:rsidRPr="003919F7" w:rsidRDefault="007063AF" w:rsidP="007063AF">
      <w:pPr>
        <w:jc w:val="center"/>
        <w:outlineLvl w:val="0"/>
        <w:rPr>
          <w:rFonts w:ascii="Garamond" w:hAnsi="Garamond"/>
          <w:b/>
          <w:szCs w:val="24"/>
        </w:rPr>
      </w:pPr>
    </w:p>
    <w:p w:rsidR="007063AF" w:rsidRPr="003919F7" w:rsidRDefault="007063AF" w:rsidP="007063AF">
      <w:pPr>
        <w:jc w:val="center"/>
        <w:outlineLvl w:val="0"/>
        <w:rPr>
          <w:rFonts w:ascii="Garamond" w:hAnsi="Garamond"/>
          <w:b/>
          <w:szCs w:val="24"/>
        </w:rPr>
      </w:pPr>
    </w:p>
    <w:p w:rsidR="007063AF" w:rsidRPr="003919F7" w:rsidRDefault="007063AF" w:rsidP="007063AF">
      <w:pPr>
        <w:jc w:val="center"/>
        <w:outlineLvl w:val="0"/>
        <w:rPr>
          <w:rFonts w:ascii="Garamond" w:hAnsi="Garamond"/>
          <w:b/>
          <w:szCs w:val="24"/>
        </w:rPr>
      </w:pPr>
    </w:p>
    <w:p w:rsidR="007063AF" w:rsidRDefault="007063AF" w:rsidP="007063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0151B">
        <w:rPr>
          <w:rFonts w:ascii="Garamond" w:hAnsi="Garamond"/>
          <w:b/>
          <w:spacing w:val="20"/>
          <w:sz w:val="32"/>
          <w:szCs w:val="32"/>
        </w:rPr>
        <w:t xml:space="preserve">ΕΞΕΤΑΣΤΕΑ ΥΛΗ </w:t>
      </w:r>
      <w:r>
        <w:rPr>
          <w:rFonts w:ascii="Garamond" w:hAnsi="Garamond"/>
          <w:b/>
          <w:spacing w:val="20"/>
          <w:sz w:val="32"/>
          <w:szCs w:val="32"/>
        </w:rPr>
        <w:t>ΠΡΟΑΓΩΓΙΚΩΝ-</w:t>
      </w:r>
      <w:r>
        <w:rPr>
          <w:rFonts w:ascii="Times New Roman" w:hAnsi="Times New Roman"/>
          <w:b/>
          <w:sz w:val="28"/>
          <w:szCs w:val="28"/>
        </w:rPr>
        <w:t>ΚΑΤΑΤΑΚΤΗΡΙΩΝ ΕΞΕΤΑΣΕΩΝ</w:t>
      </w:r>
    </w:p>
    <w:p w:rsidR="007063AF" w:rsidRDefault="007063AF" w:rsidP="007063AF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  <w:r w:rsidRPr="003919F7">
        <w:rPr>
          <w:rFonts w:ascii="Garamond" w:hAnsi="Garamond"/>
          <w:b/>
          <w:szCs w:val="24"/>
        </w:rPr>
        <w:t>ΤΟΥ ΜΑΘΗΜΑΤΟΣ:</w:t>
      </w:r>
      <w:r>
        <w:rPr>
          <w:rFonts w:ascii="Garamond" w:hAnsi="Garamond"/>
          <w:b/>
          <w:szCs w:val="24"/>
        </w:rPr>
        <w:t>ΑΡΧΑΙΑ ΕΛΛΗΝΙΚΗ ΓΛΩΣΣΑ ΚΑΙ ΓΡΑΜΜΑΤΕΙΑ</w:t>
      </w: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1. Εισαγωγή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>α)</w:t>
      </w:r>
      <w:r w:rsidRPr="00873E47">
        <w:rPr>
          <w:rFonts w:ascii="Times New Roman" w:eastAsiaTheme="minorHAnsi" w:hAnsi="Times New Roman"/>
          <w:szCs w:val="24"/>
          <w:u w:val="single"/>
        </w:rPr>
        <w:t xml:space="preserve"> Κεφάλαιο </w:t>
      </w:r>
      <w:proofErr w:type="spellStart"/>
      <w:r w:rsidRPr="00873E47">
        <w:rPr>
          <w:rFonts w:ascii="Times New Roman" w:eastAsiaTheme="minorHAnsi" w:hAnsi="Times New Roman"/>
          <w:szCs w:val="24"/>
          <w:u w:val="single"/>
        </w:rPr>
        <w:t>Β΄:</w:t>
      </w:r>
      <w:r w:rsidRPr="007063AF">
        <w:rPr>
          <w:rFonts w:ascii="Times New Roman" w:eastAsiaTheme="minorHAnsi" w:hAnsi="Times New Roman"/>
          <w:i/>
          <w:iCs/>
          <w:szCs w:val="24"/>
        </w:rPr>
        <w:t>Θουκυδίδης</w:t>
      </w:r>
      <w:proofErr w:type="spellEnd"/>
      <w:r w:rsidRPr="007063AF">
        <w:rPr>
          <w:rFonts w:ascii="Times New Roman" w:eastAsiaTheme="minorHAnsi" w:hAnsi="Times New Roman"/>
          <w:i/>
          <w:iCs/>
          <w:szCs w:val="24"/>
        </w:rPr>
        <w:t xml:space="preserve"> </w:t>
      </w:r>
      <w:proofErr w:type="spellStart"/>
      <w:r w:rsidRPr="007063AF">
        <w:rPr>
          <w:rFonts w:ascii="Times New Roman" w:eastAsiaTheme="minorHAnsi" w:hAnsi="Times New Roman"/>
          <w:i/>
          <w:iCs/>
          <w:szCs w:val="24"/>
        </w:rPr>
        <w:t>ΟλόρουΑλιμούσιος</w:t>
      </w:r>
      <w:proofErr w:type="spellEnd"/>
      <w:r w:rsidRPr="007063AF">
        <w:rPr>
          <w:rFonts w:ascii="Times New Roman" w:eastAsiaTheme="minorHAnsi" w:hAnsi="Times New Roman"/>
          <w:szCs w:val="24"/>
        </w:rPr>
        <w:t>(1. Η ζωή του - 2. Το έργο του. Ενδιαφέροντα και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ιδέες - Μέθοδος - Η δομή του έργου. Ο χρόνος της σύνθεσής του - Γλώσσα και ύφος)</w:t>
      </w:r>
    </w:p>
    <w:p w:rsid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>β)</w:t>
      </w:r>
      <w:r w:rsidRPr="00873E47">
        <w:rPr>
          <w:rFonts w:ascii="Times New Roman" w:eastAsiaTheme="minorHAnsi" w:hAnsi="Times New Roman"/>
          <w:szCs w:val="24"/>
          <w:u w:val="single"/>
        </w:rPr>
        <w:t xml:space="preserve"> Κεφάλαιο </w:t>
      </w:r>
      <w:proofErr w:type="spellStart"/>
      <w:r w:rsidRPr="00873E47">
        <w:rPr>
          <w:rFonts w:ascii="Times New Roman" w:eastAsiaTheme="minorHAnsi" w:hAnsi="Times New Roman"/>
          <w:szCs w:val="24"/>
          <w:u w:val="single"/>
        </w:rPr>
        <w:t>Γ΄:</w:t>
      </w:r>
      <w:r w:rsidRPr="007063AF">
        <w:rPr>
          <w:rFonts w:ascii="Times New Roman" w:eastAsiaTheme="minorHAnsi" w:hAnsi="Times New Roman"/>
          <w:i/>
          <w:iCs/>
          <w:szCs w:val="24"/>
        </w:rPr>
        <w:t>Ξενοφών</w:t>
      </w:r>
      <w:proofErr w:type="spellEnd"/>
      <w:r w:rsidRPr="007063AF">
        <w:rPr>
          <w:rFonts w:ascii="Times New Roman" w:eastAsiaTheme="minorHAnsi" w:hAnsi="Times New Roman"/>
          <w:i/>
          <w:iCs/>
          <w:szCs w:val="24"/>
        </w:rPr>
        <w:t xml:space="preserve"> Γρύλλου </w:t>
      </w:r>
      <w:proofErr w:type="spellStart"/>
      <w:r w:rsidRPr="007063AF">
        <w:rPr>
          <w:rFonts w:ascii="Times New Roman" w:eastAsiaTheme="minorHAnsi" w:hAnsi="Times New Roman"/>
          <w:i/>
          <w:iCs/>
          <w:szCs w:val="24"/>
        </w:rPr>
        <w:t>Ερχιεύς</w:t>
      </w:r>
      <w:proofErr w:type="spellEnd"/>
      <w:r w:rsidRPr="007063AF">
        <w:rPr>
          <w:rFonts w:ascii="Times New Roman" w:eastAsiaTheme="minorHAnsi" w:hAnsi="Times New Roman"/>
          <w:szCs w:val="24"/>
        </w:rPr>
        <w:t>(1. Η ζωή του - 2. Το έργο του. Ενδιαφέροντα και ιδέες).</w:t>
      </w:r>
    </w:p>
    <w:p w:rsidR="00873E47" w:rsidRPr="007063AF" w:rsidRDefault="00873E47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2. Κείμενα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 xml:space="preserve">α) </w:t>
      </w:r>
      <w:proofErr w:type="spellStart"/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>Θουκυδίδου</w:t>
      </w:r>
      <w:proofErr w:type="spellEnd"/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 xml:space="preserve">, </w:t>
      </w:r>
      <w:proofErr w:type="spellStart"/>
      <w:r w:rsidRPr="00873E47">
        <w:rPr>
          <w:rFonts w:ascii="Times New Roman" w:eastAsiaTheme="minorHAnsi" w:hAnsi="Times New Roman"/>
          <w:b/>
          <w:bCs/>
          <w:i/>
          <w:iCs/>
          <w:szCs w:val="24"/>
          <w:u w:val="single"/>
        </w:rPr>
        <w:t>Ἱστορίαι</w:t>
      </w:r>
      <w:proofErr w:type="spellEnd"/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>, Βιβλίο 3ο,</w:t>
      </w:r>
      <w:r w:rsidRPr="007063AF">
        <w:rPr>
          <w:rFonts w:ascii="Times New Roman" w:eastAsiaTheme="minorHAnsi" w:hAnsi="Times New Roman"/>
          <w:b/>
          <w:bCs/>
          <w:szCs w:val="24"/>
        </w:rPr>
        <w:t xml:space="preserve"> με βασικό θεματικό πυρήνα: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Ισχύς και δίκαιο, η «ηθική» του πολέμου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ΕΝΟΤΗΤΕΣ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70 (μόνο από μετάφραση)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71-73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74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75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78 (μόνο από μετάφραση)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81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82-83 (μόνο από μετάφραση</w:t>
      </w:r>
      <w:r w:rsidRPr="007063AF">
        <w:rPr>
          <w:rFonts w:ascii="Times New Roman" w:eastAsiaTheme="minorHAnsi" w:hAnsi="Times New Roman"/>
          <w:szCs w:val="24"/>
        </w:rPr>
        <w:t>)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 xml:space="preserve">β) Ξενοφών, </w:t>
      </w:r>
      <w:proofErr w:type="spellStart"/>
      <w:r w:rsidRPr="00873E47">
        <w:rPr>
          <w:rFonts w:ascii="Times New Roman" w:eastAsiaTheme="minorHAnsi" w:hAnsi="Times New Roman"/>
          <w:b/>
          <w:bCs/>
          <w:i/>
          <w:iCs/>
          <w:szCs w:val="24"/>
          <w:u w:val="single"/>
        </w:rPr>
        <w:t>Ἑλληνικά</w:t>
      </w:r>
      <w:proofErr w:type="spellEnd"/>
      <w:r w:rsidRPr="00873E47">
        <w:rPr>
          <w:rFonts w:ascii="Times New Roman" w:eastAsiaTheme="minorHAnsi" w:hAnsi="Times New Roman"/>
          <w:b/>
          <w:bCs/>
          <w:szCs w:val="24"/>
          <w:u w:val="single"/>
        </w:rPr>
        <w:t>, Βιβλίο 2ο</w:t>
      </w:r>
      <w:r w:rsidRPr="007063AF">
        <w:rPr>
          <w:rFonts w:ascii="Times New Roman" w:eastAsiaTheme="minorHAnsi" w:hAnsi="Times New Roman"/>
          <w:b/>
          <w:bCs/>
          <w:szCs w:val="24"/>
        </w:rPr>
        <w:t>, με βασικό θεματικό πυρήνα: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Στρατιωτική υπεροχή και πολιτική κυριαρχία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ΕΝΟΤΗΤΕΣ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1. § 16-32 (μόνο από μετάφραση)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2. § 1-4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2. § 16-23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3. § 11-16 (μόνο από μετάφραση)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3. § 50-56</w:t>
      </w:r>
    </w:p>
    <w:p w:rsidR="007063AF" w:rsidRP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>Κεφάλαιο 4. § 1-17 (μόνο από μετάφραση)</w:t>
      </w:r>
    </w:p>
    <w:p w:rsidR="007063AF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szCs w:val="24"/>
        </w:rPr>
        <w:t>Κεφάλαιο 4. § 18-23</w:t>
      </w:r>
    </w:p>
    <w:p w:rsidR="00873E47" w:rsidRPr="007063AF" w:rsidRDefault="00873E47" w:rsidP="007063A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7063AF" w:rsidRDefault="007063AF" w:rsidP="0023796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 xml:space="preserve"> 3</w:t>
      </w:r>
      <w:r w:rsidRPr="0023796B">
        <w:rPr>
          <w:rFonts w:ascii="Times New Roman" w:eastAsiaTheme="minorHAnsi" w:hAnsi="Times New Roman"/>
          <w:b/>
          <w:bCs/>
          <w:szCs w:val="24"/>
        </w:rPr>
        <w:t xml:space="preserve">. H </w:t>
      </w:r>
      <w:r w:rsidRPr="0023796B">
        <w:rPr>
          <w:rFonts w:ascii="Times New Roman" w:eastAsiaTheme="minorHAnsi" w:hAnsi="Times New Roman"/>
          <w:b/>
          <w:bCs/>
          <w:i/>
          <w:iCs/>
          <w:szCs w:val="24"/>
        </w:rPr>
        <w:t xml:space="preserve">Γραμματική της Αρχαίας Ελληνικής </w:t>
      </w:r>
      <w:r w:rsidRPr="0023796B">
        <w:rPr>
          <w:rFonts w:ascii="Times New Roman" w:eastAsiaTheme="minorHAnsi" w:hAnsi="Times New Roman"/>
          <w:b/>
          <w:bCs/>
          <w:szCs w:val="24"/>
        </w:rPr>
        <w:t>(Γυμνασίου-Λυκείου) του Μ. Οικονόμου</w:t>
      </w:r>
    </w:p>
    <w:p w:rsidR="007063AF" w:rsidRPr="0023796B" w:rsidRDefault="007063AF" w:rsidP="007063A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  <w:u w:val="single"/>
        </w:rPr>
      </w:pPr>
      <w:r w:rsidRPr="0023796B">
        <w:rPr>
          <w:rFonts w:ascii="Times New Roman" w:eastAsiaTheme="minorHAnsi" w:hAnsi="Times New Roman"/>
          <w:b/>
          <w:bCs/>
          <w:szCs w:val="24"/>
          <w:u w:val="single"/>
        </w:rPr>
        <w:lastRenderedPageBreak/>
        <w:t>Γραμματικά φαινόμενα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Φωνηεντόληκτα ουσιαστικά Γ κλίσης (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μονόθεμα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)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Φωνηεντόληκτα ουσιαστικά Γ κλίσης (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διπλόθεμα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)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Υγρόληκτα ουσιαστικά Γ κλίσης (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διπλόθεμα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)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Ανώμαλα ουσιαστικά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 xml:space="preserve">Επίθετα Γ κλίσης (φωνηεντόληκτα, αφωνόληκτα και 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ενρινόληκτα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). Κλίση μετοχών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Ανώμαλα παραθετικά επιθέτων και επιρρημάτων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Αντωνυμίες κτητικές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Κλίση συνηρημένων ρημάτων σε -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άω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, -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έω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 xml:space="preserve"> και -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όω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. Σχηματισμός των άλλων χρόνων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Αόριστος Β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Παθητικός Μέλλοντας Α και Παθητικός Αόριστος Α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 xml:space="preserve">Ρήματα υγρόληκτα και 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ενρινόληκτα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>. Σχηματισμός Μέλλοντα και Αορίστου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Σχηματισμός Μέλλοντα των σε -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ίζω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 xml:space="preserve"> ρημάτων</w:t>
      </w:r>
    </w:p>
    <w:p w:rsidR="0023796B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</w:rPr>
      </w:pPr>
      <w:r w:rsidRPr="00621877">
        <w:rPr>
          <w:rFonts w:ascii="Calibri" w:eastAsiaTheme="minorHAnsi" w:hAnsi="Calibri" w:cs="Calibri"/>
          <w:sz w:val="22"/>
          <w:szCs w:val="22"/>
        </w:rPr>
        <w:t>Σχηματισμός συντελικών χρόνων αφωνόληκτων ρημάτων.</w:t>
      </w:r>
    </w:p>
    <w:p w:rsidR="00621877" w:rsidRPr="00621877" w:rsidRDefault="00621877" w:rsidP="00621877">
      <w:pPr>
        <w:pStyle w:val="a3"/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7063AF" w:rsidRDefault="007063AF" w:rsidP="007063AF">
      <w:pPr>
        <w:jc w:val="both"/>
        <w:outlineLvl w:val="0"/>
        <w:rPr>
          <w:rFonts w:ascii="Times New Roman" w:eastAsiaTheme="minorHAnsi" w:hAnsi="Times New Roman"/>
          <w:szCs w:val="24"/>
        </w:rPr>
      </w:pPr>
      <w:r w:rsidRPr="007063AF">
        <w:rPr>
          <w:rFonts w:ascii="Times New Roman" w:eastAsiaTheme="minorHAnsi" w:hAnsi="Times New Roman"/>
          <w:b/>
          <w:bCs/>
          <w:szCs w:val="24"/>
        </w:rPr>
        <w:t xml:space="preserve">4. </w:t>
      </w:r>
      <w:r w:rsidRPr="0023796B">
        <w:rPr>
          <w:rFonts w:ascii="Times New Roman" w:eastAsiaTheme="minorHAnsi" w:hAnsi="Times New Roman"/>
          <w:b/>
          <w:bCs/>
          <w:szCs w:val="24"/>
        </w:rPr>
        <w:t xml:space="preserve">Το </w:t>
      </w:r>
      <w:r w:rsidRPr="0023796B">
        <w:rPr>
          <w:rFonts w:ascii="Times New Roman" w:eastAsiaTheme="minorHAnsi" w:hAnsi="Times New Roman"/>
          <w:b/>
          <w:bCs/>
          <w:i/>
          <w:iCs/>
          <w:szCs w:val="24"/>
        </w:rPr>
        <w:t xml:space="preserve">Συντακτικό της Αρχαίας Ελληνικής (Α΄, Β΄, Γ΄ Λυκείου) </w:t>
      </w:r>
      <w:r w:rsidRPr="0023796B">
        <w:rPr>
          <w:rFonts w:ascii="Times New Roman" w:eastAsiaTheme="minorHAnsi" w:hAnsi="Times New Roman"/>
          <w:b/>
          <w:bCs/>
          <w:szCs w:val="24"/>
        </w:rPr>
        <w:t xml:space="preserve">του Α.Β. </w:t>
      </w:r>
      <w:proofErr w:type="spellStart"/>
      <w:r w:rsidRPr="0023796B">
        <w:rPr>
          <w:rFonts w:ascii="Times New Roman" w:eastAsiaTheme="minorHAnsi" w:hAnsi="Times New Roman"/>
          <w:b/>
          <w:bCs/>
          <w:szCs w:val="24"/>
        </w:rPr>
        <w:t>Μουμτζάκη</w:t>
      </w:r>
      <w:proofErr w:type="spellEnd"/>
    </w:p>
    <w:p w:rsidR="0023796B" w:rsidRPr="0023796B" w:rsidRDefault="0023796B" w:rsidP="0023796B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  <w:u w:val="single"/>
        </w:rPr>
      </w:pPr>
      <w:r w:rsidRPr="0023796B">
        <w:rPr>
          <w:rFonts w:ascii="Times New Roman" w:eastAsiaTheme="minorHAnsi" w:hAnsi="Times New Roman"/>
          <w:b/>
          <w:bCs/>
          <w:szCs w:val="24"/>
          <w:u w:val="single"/>
        </w:rPr>
        <w:t>Συντακτικά φαινόμενα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Κατηγορούμενο. Γενική κατηγορηματική. Επιρρηματικό και προληπτικό κατηγορούμενο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Αντικείμενο άμεσο και έμμεσο. Σύστοιχο αντικείμενο. Κατηγορούμενο του αντικειμένου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Απαρέμφατο έναρθρο και άναρθρο. Απρόσωπη σύνταξη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Μετοχές: κατηγορηματική και επιρρηματική. Συνημμένη και απόλυτη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Β όρος σύγκρισης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 xml:space="preserve">Ομοιόπτωτοι - </w:t>
      </w:r>
      <w:proofErr w:type="spellStart"/>
      <w:r w:rsidRPr="00621877">
        <w:rPr>
          <w:rFonts w:ascii="Calibri" w:eastAsiaTheme="minorHAnsi" w:hAnsi="Calibri" w:cs="Calibri"/>
          <w:sz w:val="22"/>
          <w:szCs w:val="22"/>
        </w:rPr>
        <w:t>Ετερόπτωτοι</w:t>
      </w:r>
      <w:proofErr w:type="spellEnd"/>
      <w:r w:rsidRPr="00621877">
        <w:rPr>
          <w:rFonts w:ascii="Calibri" w:eastAsiaTheme="minorHAnsi" w:hAnsi="Calibri" w:cs="Calibri"/>
          <w:sz w:val="22"/>
          <w:szCs w:val="22"/>
        </w:rPr>
        <w:t xml:space="preserve"> ονοματικοί προσδιορισμοί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Επιρρηματικοί προσδιορισμοί (εμπρόθετοι, πλάγιες πτώσεις)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Παρατακτική - Υποτακτική σύνδεση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Δευτερεύουσες ονοματικές προτάσεις (είδος, εκφορά, λειτουργία)</w:t>
      </w:r>
    </w:p>
    <w:p w:rsidR="00621877" w:rsidRPr="00621877" w:rsidRDefault="00621877" w:rsidP="00621877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</w:rPr>
      </w:pPr>
      <w:r w:rsidRPr="00621877">
        <w:rPr>
          <w:rFonts w:ascii="Calibri" w:eastAsiaTheme="minorHAnsi" w:hAnsi="Calibri" w:cs="Calibri"/>
          <w:sz w:val="22"/>
          <w:szCs w:val="22"/>
        </w:rPr>
        <w:t>Δευτερεύουσες επιρρηματικές προτάσεις (είδος)</w:t>
      </w:r>
    </w:p>
    <w:p w:rsidR="007063AF" w:rsidRPr="00621877" w:rsidRDefault="00621877" w:rsidP="00621877">
      <w:pPr>
        <w:pStyle w:val="a3"/>
        <w:numPr>
          <w:ilvl w:val="0"/>
          <w:numId w:val="7"/>
        </w:numPr>
        <w:jc w:val="both"/>
        <w:outlineLvl w:val="0"/>
        <w:rPr>
          <w:rFonts w:ascii="Garamond" w:hAnsi="Garamond"/>
          <w:b/>
          <w:szCs w:val="24"/>
        </w:rPr>
      </w:pPr>
      <w:r w:rsidRPr="00621877">
        <w:rPr>
          <w:rFonts w:ascii="Calibri" w:eastAsiaTheme="minorHAnsi" w:hAnsi="Calibri" w:cs="Calibri"/>
          <w:sz w:val="22"/>
          <w:szCs w:val="22"/>
        </w:rPr>
        <w:t>Υποθετικοί λόγοι (εντοπισμός υπόθεσης - απόδοσης).</w:t>
      </w: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</w:p>
    <w:p w:rsidR="007063AF" w:rsidRPr="003919F7" w:rsidRDefault="007063AF" w:rsidP="007063AF">
      <w:pPr>
        <w:spacing w:line="360" w:lineRule="auto"/>
        <w:rPr>
          <w:rFonts w:ascii="Garamond" w:hAnsi="Garamond"/>
          <w:sz w:val="28"/>
          <w:szCs w:val="28"/>
        </w:rPr>
      </w:pPr>
      <w:r w:rsidRPr="003919F7">
        <w:rPr>
          <w:rFonts w:ascii="Garamond" w:hAnsi="Garamond"/>
          <w:sz w:val="28"/>
          <w:szCs w:val="28"/>
        </w:rPr>
        <w:t xml:space="preserve">Η  ΔΙΕΥΘΥΝΤΡΙΑ                                  </w:t>
      </w:r>
      <w:r w:rsidR="00873E47">
        <w:rPr>
          <w:rFonts w:ascii="Garamond" w:hAnsi="Garamond"/>
          <w:sz w:val="28"/>
          <w:szCs w:val="28"/>
        </w:rPr>
        <w:t>Η</w:t>
      </w:r>
      <w:r>
        <w:rPr>
          <w:rFonts w:ascii="Garamond" w:hAnsi="Garamond"/>
          <w:sz w:val="28"/>
          <w:szCs w:val="28"/>
        </w:rPr>
        <w:t xml:space="preserve"> ΕΚΠΑΙΔΕΥΤΙΚΟ</w:t>
      </w:r>
      <w:r w:rsidR="00873E47">
        <w:rPr>
          <w:rFonts w:ascii="Garamond" w:hAnsi="Garamond"/>
          <w:sz w:val="28"/>
          <w:szCs w:val="28"/>
        </w:rPr>
        <w:t>Σ</w:t>
      </w:r>
    </w:p>
    <w:p w:rsidR="007063AF" w:rsidRDefault="007063AF" w:rsidP="007063AF">
      <w:pPr>
        <w:rPr>
          <w:rFonts w:ascii="Garamond" w:hAnsi="Garamond"/>
          <w:sz w:val="28"/>
          <w:szCs w:val="28"/>
        </w:rPr>
      </w:pPr>
    </w:p>
    <w:p w:rsidR="007063AF" w:rsidRDefault="007063AF" w:rsidP="007063AF">
      <w:pPr>
        <w:rPr>
          <w:rFonts w:ascii="Garamond" w:hAnsi="Garamond"/>
          <w:sz w:val="28"/>
          <w:szCs w:val="28"/>
        </w:rPr>
      </w:pPr>
    </w:p>
    <w:p w:rsidR="007063AF" w:rsidRPr="003919F7" w:rsidRDefault="007063AF" w:rsidP="008D43E5">
      <w:pPr>
        <w:tabs>
          <w:tab w:val="center" w:pos="4153"/>
        </w:tabs>
        <w:rPr>
          <w:rFonts w:ascii="Garamond" w:hAnsi="Garamond"/>
          <w:sz w:val="28"/>
          <w:szCs w:val="28"/>
        </w:rPr>
      </w:pPr>
      <w:r w:rsidRPr="003919F7">
        <w:rPr>
          <w:rFonts w:ascii="Garamond" w:hAnsi="Garamond"/>
          <w:sz w:val="28"/>
          <w:szCs w:val="28"/>
        </w:rPr>
        <w:t>ΒΑΣΙΛΙΚΗ ΠΑΠΟΥΤΣΗ</w:t>
      </w:r>
      <w:r w:rsidR="008D43E5">
        <w:rPr>
          <w:rFonts w:ascii="Garamond" w:hAnsi="Garamond"/>
          <w:sz w:val="28"/>
          <w:szCs w:val="28"/>
        </w:rPr>
        <w:t xml:space="preserve">                   </w:t>
      </w:r>
      <w:r w:rsidR="008D43E5">
        <w:rPr>
          <w:rFonts w:ascii="Garamond" w:hAnsi="Garamond"/>
          <w:sz w:val="28"/>
          <w:szCs w:val="28"/>
        </w:rPr>
        <w:tab/>
        <w:t>ΚΑΛΛΗΝΙΑ ΜΑΤΑΡΑΓΚΑ</w:t>
      </w:r>
    </w:p>
    <w:p w:rsidR="007063AF" w:rsidRDefault="007063AF" w:rsidP="007063AF">
      <w:pPr>
        <w:ind w:left="-708" w:hanging="426"/>
        <w:jc w:val="center"/>
        <w:outlineLvl w:val="0"/>
        <w:rPr>
          <w:rFonts w:ascii="Garamond" w:hAnsi="Garamond"/>
          <w:b/>
          <w:szCs w:val="24"/>
        </w:rPr>
      </w:pPr>
    </w:p>
    <w:p w:rsidR="00D56515" w:rsidRDefault="00D56515"/>
    <w:sectPr w:rsidR="00D56515" w:rsidSect="00351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63D"/>
    <w:multiLevelType w:val="hybridMultilevel"/>
    <w:tmpl w:val="15D01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273E"/>
    <w:multiLevelType w:val="hybridMultilevel"/>
    <w:tmpl w:val="56A0BDD0"/>
    <w:lvl w:ilvl="0" w:tplc="031CC9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C3A99"/>
    <w:multiLevelType w:val="hybridMultilevel"/>
    <w:tmpl w:val="75244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02A42"/>
    <w:multiLevelType w:val="hybridMultilevel"/>
    <w:tmpl w:val="C9FA3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F36D8"/>
    <w:multiLevelType w:val="hybridMultilevel"/>
    <w:tmpl w:val="79F42C06"/>
    <w:lvl w:ilvl="0" w:tplc="8634D81C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95EE5"/>
    <w:multiLevelType w:val="hybridMultilevel"/>
    <w:tmpl w:val="B71AFD68"/>
    <w:lvl w:ilvl="0" w:tplc="031CC9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17C1E"/>
    <w:multiLevelType w:val="hybridMultilevel"/>
    <w:tmpl w:val="D898FA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26471"/>
    <w:multiLevelType w:val="hybridMultilevel"/>
    <w:tmpl w:val="5E8695F0"/>
    <w:lvl w:ilvl="0" w:tplc="8634D81C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023"/>
    <w:rsid w:val="0023796B"/>
    <w:rsid w:val="0035183A"/>
    <w:rsid w:val="00621877"/>
    <w:rsid w:val="007063AF"/>
    <w:rsid w:val="00726023"/>
    <w:rsid w:val="00873E47"/>
    <w:rsid w:val="008D43E5"/>
    <w:rsid w:val="00D56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A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7063AF"/>
    <w:pPr>
      <w:keepNext/>
      <w:jc w:val="center"/>
      <w:outlineLvl w:val="3"/>
    </w:pPr>
    <w:rPr>
      <w:b/>
      <w:spacing w:val="3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7063AF"/>
    <w:rPr>
      <w:rFonts w:ascii="Arial" w:eastAsia="Times New Roman" w:hAnsi="Arial" w:cs="Times New Roman"/>
      <w:b/>
      <w:spacing w:val="32"/>
      <w:szCs w:val="20"/>
    </w:rPr>
  </w:style>
  <w:style w:type="paragraph" w:styleId="a3">
    <w:name w:val="List Paragraph"/>
    <w:basedOn w:val="a"/>
    <w:uiPriority w:val="34"/>
    <w:qFormat/>
    <w:rsid w:val="007063A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43E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43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ΤΟΠΑΛΗΣ ΠΑΝΑΓΙΩΤΗΣ-ΙΩΑΝΝΗΣ</dc:creator>
  <cp:keywords/>
  <dc:description/>
  <cp:lastModifiedBy>Χρήστης των Windows</cp:lastModifiedBy>
  <cp:revision>5</cp:revision>
  <dcterms:created xsi:type="dcterms:W3CDTF">2022-05-16T08:10:00Z</dcterms:created>
  <dcterms:modified xsi:type="dcterms:W3CDTF">2022-05-18T23:11:00Z</dcterms:modified>
</cp:coreProperties>
</file>