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63" w:rsidRPr="00F53BE1" w:rsidRDefault="00891AFC">
      <w:pPr>
        <w:rPr>
          <w:rFonts w:ascii="Arial" w:hAnsi="Arial" w:cs="Arial"/>
          <w:b/>
          <w:sz w:val="32"/>
          <w:szCs w:val="32"/>
        </w:rPr>
      </w:pPr>
      <w:r w:rsidRPr="00F53BE1">
        <w:rPr>
          <w:rFonts w:ascii="Arial" w:hAnsi="Arial" w:cs="Arial"/>
          <w:b/>
          <w:sz w:val="32"/>
          <w:szCs w:val="32"/>
        </w:rPr>
        <w:t>ΑΡΧΑΙΑ ΕΛΛΗΝΙΚΑ Α΄ΓΥΜΝΑΣΙΟΥ</w:t>
      </w:r>
    </w:p>
    <w:p w:rsidR="00891AFC" w:rsidRPr="00F53BE1" w:rsidRDefault="00891AFC">
      <w:pPr>
        <w:rPr>
          <w:rFonts w:ascii="Arial" w:hAnsi="Arial" w:cs="Arial"/>
          <w:b/>
          <w:sz w:val="32"/>
          <w:szCs w:val="32"/>
        </w:rPr>
      </w:pPr>
      <w:r w:rsidRPr="00F53BE1">
        <w:rPr>
          <w:rFonts w:ascii="Arial" w:hAnsi="Arial" w:cs="Arial"/>
          <w:b/>
          <w:sz w:val="32"/>
          <w:szCs w:val="32"/>
        </w:rPr>
        <w:t>13/4/2020</w:t>
      </w:r>
    </w:p>
    <w:p w:rsidR="00891AFC" w:rsidRPr="00F53BE1" w:rsidRDefault="00891AFC">
      <w:pPr>
        <w:rPr>
          <w:rFonts w:ascii="Arial" w:hAnsi="Arial" w:cs="Arial"/>
          <w:b/>
          <w:sz w:val="32"/>
          <w:szCs w:val="32"/>
        </w:rPr>
      </w:pPr>
      <w:r w:rsidRPr="00F53BE1">
        <w:rPr>
          <w:rFonts w:ascii="Arial" w:hAnsi="Arial" w:cs="Arial"/>
          <w:b/>
          <w:sz w:val="32"/>
          <w:szCs w:val="32"/>
        </w:rPr>
        <w:t>Α΄ ΚΛΙΣΗ ΟΥΣΙΑΣΤΙΚΩΝ</w:t>
      </w:r>
    </w:p>
    <w:p w:rsidR="00891AFC" w:rsidRPr="00E472E0" w:rsidRDefault="00E472E0">
      <w:pPr>
        <w:rPr>
          <w:rFonts w:ascii="Arial" w:hAnsi="Arial" w:cs="Arial"/>
          <w:b/>
          <w:sz w:val="32"/>
          <w:szCs w:val="32"/>
        </w:rPr>
      </w:pPr>
      <w:r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Η πρώτη κλίση στα αρχαία ελληνικά περιλαμβάνει ονόματα αρσενικά και θηλυκά.</w:t>
      </w:r>
    </w:p>
    <w:p w:rsidR="00891AFC" w:rsidRDefault="00E472E0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Στα </w:t>
      </w:r>
      <w:r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 xml:space="preserve">αρσενικά 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ανήκουν όσα λήγουν σε:</w:t>
      </w:r>
    </w:p>
    <w:p w:rsidR="00E472E0" w:rsidRDefault="006D54C1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-η</w:t>
      </w:r>
      <w:r w:rsidR="00E472E0"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ς</w:t>
      </w:r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(</w:t>
      </w:r>
      <w:proofErr w:type="spellStart"/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π.χ</w:t>
      </w:r>
      <w:proofErr w:type="spellEnd"/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στρατιώτ</w:t>
      </w:r>
      <w:r w:rsidR="00E472E0"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ης</w:t>
      </w:r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)</w:t>
      </w:r>
    </w:p>
    <w:p w:rsidR="00432DC0" w:rsidRDefault="006D54C1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-α</w:t>
      </w:r>
      <w:r w:rsidR="00E472E0"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ς</w:t>
      </w:r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(</w:t>
      </w:r>
      <w:proofErr w:type="spellStart"/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π.χ</w:t>
      </w:r>
      <w:proofErr w:type="spellEnd"/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νεανί</w:t>
      </w:r>
      <w:r w:rsidR="00E472E0" w:rsidRPr="00E472E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ας</w:t>
      </w:r>
      <w:r w:rsidR="00E472E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)</w:t>
      </w:r>
      <w:r w:rsidR="00432DC0" w:rsidRPr="00432DC0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</w:t>
      </w:r>
    </w:p>
    <w:p w:rsidR="00E472E0" w:rsidRDefault="00432DC0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Στα </w:t>
      </w:r>
      <w:r w:rsidRPr="00432DC0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θηλυκά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ανήκουν όσα λήγουν σε:</w:t>
      </w:r>
    </w:p>
    <w:p w:rsidR="00432DC0" w:rsidRDefault="00432DC0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-</w:t>
      </w:r>
      <w:r w:rsidRPr="000622BC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α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π.χ</w:t>
      </w:r>
      <w:proofErr w:type="spellEnd"/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πολιτεία,</w:t>
      </w:r>
      <w:r w:rsidR="000622BC" w:rsidRPr="000622BC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</w:t>
      </w:r>
      <w:proofErr w:type="spellStart"/>
      <w:r w:rsidR="000622BC"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γλῶσσ</w:t>
      </w:r>
      <w:r w:rsidR="000622BC">
        <w:rPr>
          <w:rFonts w:ascii="Calibri" w:hAnsi="Calibri" w:cs="Calibri"/>
          <w:b/>
          <w:bCs/>
          <w:color w:val="000000"/>
          <w:sz w:val="34"/>
          <w:szCs w:val="34"/>
          <w:shd w:val="clear" w:color="auto" w:fill="FFFFFF"/>
        </w:rPr>
        <w:t>α</w:t>
      </w:r>
      <w:proofErr w:type="spellEnd"/>
      <w:r w:rsidR="000622BC">
        <w:rPr>
          <w:rFonts w:ascii="Calibri" w:hAnsi="Calibri" w:cs="Calibri"/>
          <w:b/>
          <w:bCs/>
          <w:color w:val="000000"/>
          <w:sz w:val="34"/>
          <w:szCs w:val="34"/>
          <w:shd w:val="clear" w:color="auto" w:fill="FFFFFF"/>
        </w:rPr>
        <w:t>)</w:t>
      </w:r>
    </w:p>
    <w:p w:rsidR="000622BC" w:rsidRDefault="000622BC">
      <w:pPr>
        <w:rPr>
          <w:rFonts w:ascii="Calibri" w:hAnsi="Calibri" w:cs="Calibri"/>
          <w:color w:val="000000"/>
          <w:sz w:val="34"/>
          <w:szCs w:val="34"/>
          <w:shd w:val="clear" w:color="auto" w:fill="FFFFFF"/>
        </w:rPr>
      </w:pP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-</w:t>
      </w:r>
      <w:r w:rsidRPr="000622BC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 xml:space="preserve">η 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(</w:t>
      </w:r>
      <w:proofErr w:type="spellStart"/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π.χ</w:t>
      </w:r>
      <w:proofErr w:type="spellEnd"/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 xml:space="preserve"> πηγ</w:t>
      </w:r>
      <w:r w:rsidRPr="000622BC">
        <w:rPr>
          <w:rFonts w:ascii="Calibri" w:hAnsi="Calibri" w:cs="Calibri"/>
          <w:b/>
          <w:color w:val="000000"/>
          <w:sz w:val="34"/>
          <w:szCs w:val="34"/>
          <w:shd w:val="clear" w:color="auto" w:fill="FFFFFF"/>
        </w:rPr>
        <w:t>ή</w:t>
      </w:r>
      <w:r>
        <w:rPr>
          <w:rFonts w:ascii="Calibri" w:hAnsi="Calibri" w:cs="Calibri"/>
          <w:color w:val="000000"/>
          <w:sz w:val="34"/>
          <w:szCs w:val="34"/>
          <w:shd w:val="clear" w:color="auto" w:fill="FFFFFF"/>
        </w:rPr>
        <w:t>)</w:t>
      </w:r>
    </w:p>
    <w:p w:rsidR="0062363E" w:rsidRDefault="000622BC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622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ΠΡΟΣΟΧΗ</w:t>
      </w:r>
    </w:p>
    <w:p w:rsidR="00432DC0" w:rsidRDefault="000622BC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622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0622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Στον πληθυντικό αριθμό </w:t>
      </w:r>
      <w:r w:rsidRPr="000622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τα αρσενικά και τα θηλυκά έχουν τις ίδιες καταλήξεις. </w:t>
      </w:r>
    </w:p>
    <w:p w:rsidR="0062363E" w:rsidRDefault="0062363E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Το -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α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 στην κατάληξη -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ας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 σε οποιαδήποτε πτώση είναι πάντοτε 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μακρόχρονο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, π.χ.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τῆς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χώρ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ᾱ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τὰς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χώρ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ᾱ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τάς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γλώσσ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ᾱ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ς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</w:rPr>
        <w:br/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• Η γενική του πληθυντικού τονίζεται στη λήγουσα και παίρνει περισπωμένη, π.χ.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τῶν</w:t>
      </w:r>
      <w:proofErr w:type="spellEnd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χωρ</w:t>
      </w:r>
      <w:r w:rsidRPr="0062363E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ῶ</w:t>
      </w:r>
      <w:r w:rsidRPr="0062363E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ν</w:t>
      </w:r>
      <w:proofErr w:type="spellEnd"/>
    </w:p>
    <w:p w:rsidR="0062363E" w:rsidRDefault="0062363E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62363E" w:rsidRDefault="0062363E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62363E" w:rsidRDefault="0062363E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62363E" w:rsidRDefault="0062363E">
      <w:pP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62363E" w:rsidRPr="0062363E" w:rsidRDefault="0062363E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622BC" w:rsidRPr="000622BC" w:rsidRDefault="003E63BD" w:rsidP="000622BC">
      <w:pPr>
        <w:spacing w:after="0" w:line="464" w:lineRule="atLeast"/>
        <w:ind w:left="84" w:right="84"/>
        <w:rPr>
          <w:rFonts w:ascii="Arial" w:eastAsia="Times New Roman" w:hAnsi="Arial" w:cs="Arial"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lastRenderedPageBreak/>
        <w:t>Α</w:t>
      </w:r>
      <w:r w:rsidR="000622BC" w:rsidRPr="000622BC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ρσενικά σε -ας και σε -ης</w:t>
      </w:r>
    </w:p>
    <w:p w:rsidR="000622BC" w:rsidRPr="000622BC" w:rsidRDefault="000622BC" w:rsidP="000622BC">
      <w:pPr>
        <w:spacing w:after="0" w:line="435" w:lineRule="atLeast"/>
        <w:ind w:left="84" w:right="84" w:firstLine="26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el-GR"/>
        </w:rPr>
      </w:pPr>
      <w:r w:rsidRPr="000622BC">
        <w:rPr>
          <w:rFonts w:ascii="Arial" w:eastAsia="Times New Roman" w:hAnsi="Arial" w:cs="Arial"/>
          <w:color w:val="000000"/>
          <w:sz w:val="32"/>
          <w:szCs w:val="32"/>
          <w:u w:val="single"/>
          <w:lang w:eastAsia="el-GR"/>
        </w:rPr>
        <w:t> </w:t>
      </w:r>
    </w:p>
    <w:tbl>
      <w:tblPr>
        <w:tblW w:w="0" w:type="dxa"/>
        <w:jc w:val="center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1539"/>
        <w:gridCol w:w="1722"/>
        <w:gridCol w:w="2266"/>
        <w:gridCol w:w="2091"/>
      </w:tblGrid>
      <w:tr w:rsidR="000622BC" w:rsidRPr="000622BC" w:rsidTr="000622BC">
        <w:trPr>
          <w:jc w:val="center"/>
        </w:trPr>
        <w:tc>
          <w:tcPr>
            <w:tcW w:w="0" w:type="auto"/>
            <w:shd w:val="clear" w:color="auto" w:fill="FFFFFF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σε -ας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σε -ης (οξύτονα)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σε -ης (παροξύτονα)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σε -ης</w:t>
            </w:r>
          </w:p>
        </w:tc>
      </w:tr>
      <w:tr w:rsidR="000622BC" w:rsidRPr="000622BC" w:rsidTr="000622BC">
        <w:trPr>
          <w:jc w:val="center"/>
        </w:trPr>
        <w:tc>
          <w:tcPr>
            <w:tcW w:w="0" w:type="auto"/>
            <w:shd w:val="clear" w:color="auto" w:fill="F1F1F1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ὁ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τοῦ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τῷ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τὸν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>ας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ου</w:t>
            </w:r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ᾳ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 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ής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 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οῦ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 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ῇ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 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ήν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 xml:space="preserve"> 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ά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ης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ου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ῃ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ην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στρατιῶτ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ης </w:t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ου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ῃ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ην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</w:t>
            </w:r>
          </w:p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</w:tr>
      <w:tr w:rsidR="000622BC" w:rsidRPr="000622BC" w:rsidTr="000622BC">
        <w:trPr>
          <w:jc w:val="center"/>
        </w:trPr>
        <w:tc>
          <w:tcPr>
            <w:tcW w:w="0" w:type="auto"/>
            <w:shd w:val="clear" w:color="auto" w:fill="FFFFFF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οἱ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τῶν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τοῖς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τοὺς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νεανι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νεανί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αί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αῖς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άς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ποιητ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αί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P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στρατιῶτ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στρατιωτ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στρατιώτ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στρατιῶτ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0622BC" w:rsidRDefault="000622BC" w:rsidP="000622BC">
            <w:pPr>
              <w:spacing w:after="0" w:line="464" w:lineRule="atLeas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εὐπατριδ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εὐπατρίδ</w:t>
            </w:r>
            <w:proofErr w:type="spellEnd"/>
            <w:r w:rsidRPr="000622BC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0622B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  <w:p w:rsidR="0062363E" w:rsidRDefault="0062363E" w:rsidP="000622BC">
            <w:pPr>
              <w:spacing w:after="0" w:line="464" w:lineRule="atLeas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</w:p>
          <w:p w:rsidR="0062363E" w:rsidRPr="000622BC" w:rsidRDefault="0062363E" w:rsidP="000622BC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</w:tr>
    </w:tbl>
    <w:p w:rsidR="009D1D20" w:rsidRPr="009D1D20" w:rsidRDefault="009D1D20" w:rsidP="009D1D20">
      <w:pPr>
        <w:pStyle w:val="ca20"/>
        <w:spacing w:before="0" w:beforeAutospacing="0" w:after="0" w:afterAutospacing="0" w:line="435" w:lineRule="atLeast"/>
        <w:ind w:right="84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D1D20">
        <w:rPr>
          <w:rFonts w:ascii="Arial" w:hAnsi="Arial" w:cs="Arial"/>
          <w:b/>
          <w:color w:val="000000"/>
          <w:sz w:val="32"/>
          <w:szCs w:val="32"/>
          <w:u w:val="single"/>
        </w:rPr>
        <w:t>Σχηματίζουν την κλητική του ενικού σε -</w:t>
      </w:r>
      <w:r w:rsidRPr="009D1D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α</w:t>
      </w:r>
      <w:r w:rsidRPr="009D1D20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:rsidR="009D1D20" w:rsidRPr="009D1D20" w:rsidRDefault="009D1D20" w:rsidP="009D1D20">
      <w:pPr>
        <w:pStyle w:val="ca20"/>
        <w:numPr>
          <w:ilvl w:val="0"/>
          <w:numId w:val="1"/>
        </w:numPr>
        <w:spacing w:before="0" w:beforeAutospacing="0" w:after="0" w:afterAutospacing="0" w:line="435" w:lineRule="atLeast"/>
        <w:ind w:left="804" w:right="84" w:firstLine="268"/>
        <w:rPr>
          <w:rFonts w:ascii="Arial" w:hAnsi="Arial" w:cs="Arial"/>
          <w:color w:val="000000"/>
          <w:sz w:val="32"/>
          <w:szCs w:val="32"/>
        </w:rPr>
      </w:pPr>
      <w:r w:rsidRPr="009D1D20">
        <w:rPr>
          <w:rFonts w:ascii="Arial" w:hAnsi="Arial" w:cs="Arial"/>
          <w:color w:val="000000"/>
          <w:sz w:val="32"/>
          <w:szCs w:val="32"/>
        </w:rPr>
        <w:t>τα εθνικά: ὦ Πέρσ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α</w:t>
      </w:r>
      <w:r w:rsidRPr="009D1D20">
        <w:rPr>
          <w:rFonts w:ascii="Arial" w:hAnsi="Arial" w:cs="Arial"/>
          <w:color w:val="000000"/>
          <w:sz w:val="32"/>
          <w:szCs w:val="32"/>
        </w:rPr>
        <w:t xml:space="preserve">, ὦ </w:t>
      </w:r>
      <w:proofErr w:type="spellStart"/>
      <w:r w:rsidRPr="009D1D20">
        <w:rPr>
          <w:rFonts w:ascii="Arial" w:hAnsi="Arial" w:cs="Arial"/>
          <w:color w:val="000000"/>
          <w:sz w:val="32"/>
          <w:szCs w:val="32"/>
        </w:rPr>
        <w:t>Σκύθ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α</w:t>
      </w:r>
      <w:proofErr w:type="spellEnd"/>
    </w:p>
    <w:p w:rsidR="009D1D20" w:rsidRPr="009D1D20" w:rsidRDefault="009D1D20" w:rsidP="009D1D20">
      <w:pPr>
        <w:pStyle w:val="ca20"/>
        <w:numPr>
          <w:ilvl w:val="0"/>
          <w:numId w:val="1"/>
        </w:numPr>
        <w:spacing w:before="0" w:beforeAutospacing="0" w:after="0" w:afterAutospacing="0" w:line="435" w:lineRule="atLeast"/>
        <w:ind w:left="804" w:right="84" w:firstLine="268"/>
        <w:rPr>
          <w:rFonts w:ascii="Arial" w:hAnsi="Arial" w:cs="Arial"/>
          <w:color w:val="000000"/>
          <w:sz w:val="32"/>
          <w:szCs w:val="32"/>
        </w:rPr>
      </w:pPr>
      <w:r w:rsidRPr="009D1D20">
        <w:rPr>
          <w:rFonts w:ascii="Arial" w:hAnsi="Arial" w:cs="Arial"/>
          <w:color w:val="000000"/>
          <w:sz w:val="32"/>
          <w:szCs w:val="32"/>
        </w:rPr>
        <w:t xml:space="preserve">όσα λήγουν σε -της, π.χ. ὦ </w:t>
      </w:r>
      <w:proofErr w:type="spellStart"/>
      <w:r w:rsidRPr="009D1D20">
        <w:rPr>
          <w:rFonts w:ascii="Arial" w:hAnsi="Arial" w:cs="Arial"/>
          <w:color w:val="000000"/>
          <w:sz w:val="32"/>
          <w:szCs w:val="32"/>
        </w:rPr>
        <w:t>ποιητ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ά</w:t>
      </w:r>
      <w:proofErr w:type="spellEnd"/>
    </w:p>
    <w:p w:rsidR="00CC5E8E" w:rsidRDefault="00CC5E8E" w:rsidP="009D1D20">
      <w:pPr>
        <w:pStyle w:val="ca20"/>
        <w:numPr>
          <w:ilvl w:val="0"/>
          <w:numId w:val="1"/>
        </w:numPr>
        <w:spacing w:before="0" w:beforeAutospacing="0" w:after="0" w:afterAutospacing="0" w:line="435" w:lineRule="atLeast"/>
        <w:ind w:left="804" w:right="84" w:firstLine="26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τα σύνθετα με β' συνθετικό ρήμα</w:t>
      </w:r>
    </w:p>
    <w:p w:rsidR="009D1D20" w:rsidRPr="009D1D20" w:rsidRDefault="009D1D20" w:rsidP="00CC5E8E">
      <w:pPr>
        <w:pStyle w:val="ca20"/>
        <w:spacing w:before="0" w:beforeAutospacing="0" w:after="0" w:afterAutospacing="0" w:line="435" w:lineRule="atLeast"/>
        <w:ind w:right="84"/>
        <w:rPr>
          <w:rFonts w:ascii="Arial" w:hAnsi="Arial" w:cs="Arial"/>
          <w:color w:val="000000"/>
          <w:sz w:val="32"/>
          <w:szCs w:val="32"/>
        </w:rPr>
      </w:pPr>
      <w:r w:rsidRPr="009D1D20">
        <w:rPr>
          <w:rFonts w:ascii="Arial" w:hAnsi="Arial" w:cs="Arial"/>
          <w:color w:val="000000"/>
          <w:sz w:val="32"/>
          <w:szCs w:val="32"/>
        </w:rPr>
        <w:t xml:space="preserve"> π.χ. ὦ γυμνασιάρχ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α, </w:t>
      </w:r>
      <w:r w:rsidRPr="009D1D20">
        <w:rPr>
          <w:rFonts w:ascii="Arial" w:hAnsi="Arial" w:cs="Arial"/>
          <w:color w:val="000000"/>
          <w:sz w:val="32"/>
          <w:szCs w:val="32"/>
        </w:rPr>
        <w:t xml:space="preserve">ὦ </w:t>
      </w:r>
      <w:proofErr w:type="spellStart"/>
      <w:r w:rsidRPr="009D1D20">
        <w:rPr>
          <w:rFonts w:ascii="Arial" w:hAnsi="Arial" w:cs="Arial"/>
          <w:color w:val="000000"/>
          <w:sz w:val="32"/>
          <w:szCs w:val="32"/>
        </w:rPr>
        <w:t>παιδοτρίβ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α</w:t>
      </w:r>
      <w:proofErr w:type="spellEnd"/>
      <w:r w:rsidRPr="009D1D20">
        <w:rPr>
          <w:rFonts w:ascii="Arial" w:hAnsi="Arial" w:cs="Arial"/>
          <w:color w:val="000000"/>
          <w:sz w:val="32"/>
          <w:szCs w:val="32"/>
        </w:rPr>
        <w:t xml:space="preserve">, ὦ </w:t>
      </w:r>
      <w:proofErr w:type="spellStart"/>
      <w:r w:rsidRPr="009D1D20">
        <w:rPr>
          <w:rFonts w:ascii="Arial" w:hAnsi="Arial" w:cs="Arial"/>
          <w:color w:val="000000"/>
          <w:sz w:val="32"/>
          <w:szCs w:val="32"/>
        </w:rPr>
        <w:t>βιβλιοπῶλ</w:t>
      </w:r>
      <w:r w:rsidRPr="009D1D20">
        <w:rPr>
          <w:rFonts w:ascii="Arial" w:hAnsi="Arial" w:cs="Arial"/>
          <w:b/>
          <w:bCs/>
          <w:color w:val="000000"/>
          <w:sz w:val="32"/>
          <w:szCs w:val="32"/>
        </w:rPr>
        <w:t>α</w:t>
      </w:r>
      <w:proofErr w:type="spellEnd"/>
    </w:p>
    <w:p w:rsidR="009D1D20" w:rsidRDefault="009D1D20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  <w:r w:rsidRPr="009D1D20">
        <w:rPr>
          <w:rFonts w:ascii="Arial" w:hAnsi="Arial" w:cs="Arial"/>
          <w:color w:val="000000"/>
          <w:sz w:val="32"/>
          <w:szCs w:val="32"/>
        </w:rPr>
        <w:t> </w:t>
      </w:r>
    </w:p>
    <w:p w:rsidR="0062363E" w:rsidRDefault="0062363E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62363E" w:rsidRDefault="0062363E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62363E" w:rsidRDefault="0062363E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62363E" w:rsidRDefault="0062363E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6F1FBB" w:rsidRDefault="006F1FBB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6F1FBB" w:rsidRPr="009D1D20" w:rsidRDefault="006F1FBB" w:rsidP="009D1D20">
      <w:pPr>
        <w:pStyle w:val="ca15j"/>
        <w:spacing w:before="0" w:beforeAutospacing="0" w:after="0" w:afterAutospacing="0" w:line="435" w:lineRule="atLeast"/>
        <w:ind w:left="84" w:right="84" w:firstLine="268"/>
        <w:rPr>
          <w:rFonts w:ascii="Arial" w:hAnsi="Arial" w:cs="Arial"/>
          <w:color w:val="000000"/>
          <w:sz w:val="32"/>
          <w:szCs w:val="32"/>
        </w:rPr>
      </w:pPr>
    </w:p>
    <w:p w:rsidR="003E63BD" w:rsidRPr="003E63BD" w:rsidRDefault="003E63BD" w:rsidP="003E63BD">
      <w:pPr>
        <w:spacing w:after="0" w:line="464" w:lineRule="atLeast"/>
        <w:ind w:left="84" w:right="84"/>
        <w:rPr>
          <w:rFonts w:ascii="Arial" w:eastAsia="Times New Roman" w:hAnsi="Arial" w:cs="Arial"/>
          <w:sz w:val="32"/>
          <w:szCs w:val="32"/>
          <w:u w:val="single"/>
          <w:lang w:eastAsia="el-GR"/>
        </w:rPr>
      </w:pPr>
      <w:r w:rsidRPr="003E63BD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lastRenderedPageBreak/>
        <w:t>Θηλυκά σε -α (γενική -ας)</w:t>
      </w:r>
    </w:p>
    <w:p w:rsidR="003E63BD" w:rsidRPr="003E63BD" w:rsidRDefault="003E63BD" w:rsidP="003E63BD">
      <w:pPr>
        <w:spacing w:after="0" w:line="435" w:lineRule="atLeast"/>
        <w:ind w:left="84" w:right="84" w:firstLine="268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3E63BD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8484" w:type="dxa"/>
        <w:jc w:val="center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74"/>
        <w:gridCol w:w="1802"/>
        <w:gridCol w:w="2329"/>
        <w:gridCol w:w="1802"/>
        <w:gridCol w:w="1802"/>
      </w:tblGrid>
      <w:tr w:rsidR="003E63BD" w:rsidRPr="003E63BD" w:rsidTr="00EE26F4">
        <w:trPr>
          <w:jc w:val="center"/>
        </w:trPr>
        <w:tc>
          <w:tcPr>
            <w:tcW w:w="0" w:type="auto"/>
            <w:shd w:val="clear" w:color="auto" w:fill="FFFFFF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bookmarkStart w:id="0" w:name="παροξύτονα0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παροξύτονα</w:t>
            </w:r>
            <w:bookmarkEnd w:id="0"/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προπαροξύτονα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παροξύτονα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παροξύτονα</w:t>
            </w:r>
          </w:p>
        </w:tc>
      </w:tr>
      <w:tr w:rsidR="003E63BD" w:rsidRPr="003E63BD" w:rsidTr="00EE26F4">
        <w:trPr>
          <w:jc w:val="center"/>
        </w:trPr>
        <w:tc>
          <w:tcPr>
            <w:tcW w:w="0" w:type="auto"/>
            <w:shd w:val="clear" w:color="auto" w:fill="F1F1F1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1F1F1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ᾳ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ἀλήθει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ἀληθεί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ἀληθεί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ᾳ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ἀλήθει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ἀλήθει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ᾳ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σφαῖρ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σφαίρ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σφαίρ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ᾳ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σφαῖρ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σφαῖρ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</w:tr>
      <w:tr w:rsidR="003E63BD" w:rsidRPr="003E63BD" w:rsidTr="00EE26F4">
        <w:trPr>
          <w:jc w:val="center"/>
        </w:trPr>
        <w:tc>
          <w:tcPr>
            <w:tcW w:w="0" w:type="auto"/>
            <w:shd w:val="clear" w:color="auto" w:fill="FFFFFF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πολιτεῖ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πολιτεῖ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ἀλήθει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ἀληθει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ἀληθεί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ἀληθεί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ἀλήθει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ὧρ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ὡρ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ὥρ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ὧρ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σφαῖρ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σφαιρ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σφαίρ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σφαίρ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σφαῖρ</w:t>
            </w:r>
            <w:proofErr w:type="spellEnd"/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3E63B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</w:tr>
      <w:tr w:rsidR="003E63BD" w:rsidRPr="003E63BD" w:rsidTr="00EE26F4">
        <w:trPr>
          <w:jc w:val="center"/>
        </w:trPr>
        <w:tc>
          <w:tcPr>
            <w:tcW w:w="0" w:type="auto"/>
            <w:shd w:val="clear" w:color="auto" w:fill="F1F1F1"/>
            <w:tcMar>
              <w:top w:w="134" w:type="dxa"/>
              <w:left w:w="268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0" w:type="auto"/>
            <w:gridSpan w:val="4"/>
            <w:shd w:val="clear" w:color="auto" w:fill="F1F1F1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before="100" w:beforeAutospacing="1" w:after="100" w:afterAutospacing="1" w:line="464" w:lineRule="atLeast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 -α είναι μακρό</w:t>
            </w:r>
          </w:p>
        </w:tc>
        <w:tc>
          <w:tcPr>
            <w:tcW w:w="0" w:type="auto"/>
            <w:shd w:val="clear" w:color="auto" w:fill="F1F1F1"/>
            <w:tcMar>
              <w:top w:w="134" w:type="dxa"/>
              <w:bottom w:w="134" w:type="dxa"/>
              <w:right w:w="134" w:type="dxa"/>
            </w:tcMar>
            <w:hideMark/>
          </w:tcPr>
          <w:p w:rsidR="003E63BD" w:rsidRPr="003E63BD" w:rsidRDefault="003E63BD" w:rsidP="003E63BD">
            <w:pPr>
              <w:spacing w:after="0" w:line="464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 -α είναι</w:t>
            </w:r>
            <w:r w:rsidRPr="003E63BD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βραχύ</w:t>
            </w:r>
          </w:p>
        </w:tc>
      </w:tr>
    </w:tbl>
    <w:p w:rsidR="00EE26F4" w:rsidRPr="00EE26F4" w:rsidRDefault="00EE26F4" w:rsidP="009D1D20">
      <w:pPr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Στα παραπάνω ουσιαστικά σε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–α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η γενική του ενικού σχηματίζεται σε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-ας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● Αυτό γίνεται, όταν στην ονομαστική </w:t>
      </w:r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πριν από το </w:t>
      </w:r>
      <w:r w:rsidRPr="00EE26F4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-α </w:t>
      </w:r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 υπάρχει </w:t>
      </w:r>
      <w:r w:rsidRPr="00EE26F4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φωνήεν</w:t>
      </w:r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 (στρατιά, πολιτεία) ή </w:t>
      </w:r>
      <w:r w:rsidRPr="00EE26F4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ρ </w:t>
      </w:r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(</w:t>
      </w:r>
      <w:proofErr w:type="spellStart"/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ὥρα</w:t>
      </w:r>
      <w:proofErr w:type="spellEnd"/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).</w:t>
      </w:r>
    </w:p>
    <w:p w:rsidR="00EE26F4" w:rsidRDefault="00EE26F4" w:rsidP="009D1D20">
      <w:pPr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● Το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α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αυτό είναι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μακρόχρονο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και  λέγεται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καθαρό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  <w:r w:rsidRPr="00EE26F4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</w:p>
    <w:p w:rsidR="009D1D20" w:rsidRDefault="00EE26F4" w:rsidP="009D1D20">
      <w:pPr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 w:rsidRPr="00EE26F4">
        <w:rPr>
          <w:rFonts w:ascii="Calibri" w:hAnsi="Calibri" w:cs="Calibri"/>
          <w:b/>
          <w:color w:val="000000"/>
          <w:sz w:val="30"/>
          <w:szCs w:val="30"/>
          <w:shd w:val="clear" w:color="auto" w:fill="FFFFFF"/>
        </w:rPr>
        <w:t>ΠΡΟΣΟΧΗ</w:t>
      </w:r>
      <w:r>
        <w:rPr>
          <w:rFonts w:ascii="Calibri" w:hAnsi="Calibri" w:cs="Calibri"/>
          <w:b/>
          <w:color w:val="000000"/>
          <w:sz w:val="30"/>
          <w:szCs w:val="30"/>
          <w:shd w:val="clear" w:color="auto" w:fill="FFFFFF"/>
        </w:rPr>
        <w:t xml:space="preserve"> </w:t>
      </w:r>
      <w:r w:rsidRPr="00EE26F4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Το καθαρό -α δεν είναι μακρόχρονο αλλά βραχύχρονο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• Όταν η λέξη τονίζεται στην προπαραλήγουσα π.χ. ἡ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ἀλήθεια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ἡ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εὐσέβεια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• Στα ονόματα: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γραῖα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,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μαῖα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,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μυῖα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,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• Στα ονόματα: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μοῖρα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πεῖρα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πρῶρα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σφαῖρα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σφῦρα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Η εξαίρεση αυτή αφορά μόνο τον τονισμό.</w:t>
      </w:r>
    </w:p>
    <w:p w:rsidR="00EE26F4" w:rsidRDefault="00F53BE1" w:rsidP="009D1D20">
      <w:pPr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sz w:val="30"/>
          <w:szCs w:val="30"/>
          <w:shd w:val="clear" w:color="auto" w:fill="FFFFFF"/>
        </w:rPr>
        <w:lastRenderedPageBreak/>
        <w:t>Σημείωση: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Στην αιτιατική και κλητική του ενικού το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-α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 είναι μακρόχρονο ή βραχύχρονο, όπως στην ονομαστική του ενικού, π.χ. ἡ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ὥρα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τήν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ὥραν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ὦ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ὥρα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ἡ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σφαῖρα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τήν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σφαῖραν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ὦ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σφαῖρα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 ἡ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γλῶσσα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, 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τήν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γλῶσσαν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ὦ 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γλῶσσα</w:t>
      </w:r>
      <w:proofErr w:type="spellEnd"/>
    </w:p>
    <w:p w:rsidR="00F53BE1" w:rsidRPr="00F53BE1" w:rsidRDefault="00F53BE1" w:rsidP="00F53BE1">
      <w:pPr>
        <w:spacing w:after="0" w:line="416" w:lineRule="atLeast"/>
        <w:ind w:left="75" w:right="75"/>
        <w:rPr>
          <w:rFonts w:ascii="Arial" w:eastAsia="Times New Roman" w:hAnsi="Arial" w:cs="Arial"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Θ</w:t>
      </w:r>
      <w:r w:rsidRPr="00F53BE1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ηλυκά σε -α(γενική -ης)</w:t>
      </w:r>
      <w:r w:rsidR="001137BA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    </w:t>
      </w:r>
    </w:p>
    <w:p w:rsidR="00F53BE1" w:rsidRPr="00F53BE1" w:rsidRDefault="00F53BE1" w:rsidP="00F53BE1">
      <w:pPr>
        <w:spacing w:after="0" w:line="390" w:lineRule="atLeast"/>
        <w:ind w:left="75" w:right="75" w:firstLine="240"/>
        <w:jc w:val="both"/>
        <w:rPr>
          <w:rFonts w:ascii="Arial" w:eastAsia="Times New Roman" w:hAnsi="Arial" w:cs="Arial"/>
          <w:color w:val="000000"/>
          <w:sz w:val="30"/>
          <w:szCs w:val="30"/>
          <w:u w:val="single"/>
          <w:lang w:eastAsia="el-GR"/>
        </w:rPr>
      </w:pPr>
      <w:r w:rsidRPr="00F53BE1">
        <w:rPr>
          <w:rFonts w:ascii="Arial" w:eastAsia="Times New Roman" w:hAnsi="Arial" w:cs="Arial"/>
          <w:color w:val="000000"/>
          <w:sz w:val="30"/>
          <w:szCs w:val="30"/>
          <w:u w:val="single"/>
          <w:lang w:eastAsia="el-GR"/>
        </w:rPr>
        <w:t> </w:t>
      </w:r>
    </w:p>
    <w:tbl>
      <w:tblPr>
        <w:tblW w:w="5105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1893"/>
        <w:gridCol w:w="2254"/>
        <w:gridCol w:w="61"/>
      </w:tblGrid>
      <w:tr w:rsidR="00F53BE1" w:rsidRPr="00F53BE1" w:rsidTr="00F53BE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παροξύτονα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προπαροξύτονα</w:t>
            </w:r>
          </w:p>
        </w:tc>
      </w:tr>
      <w:tr w:rsidR="00F53BE1" w:rsidRPr="00F53BE1" w:rsidTr="00F53BE1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ἡ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τῆς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τῇ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τὴν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γλῶσσ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γλώσσ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γλώσσ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ῃ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γλῶσσ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γλῶσσ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τράπεζ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τραπέζ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τραπέζ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ῃ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τράπεζ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αν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τράπεζ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53BE1" w:rsidRPr="00F53BE1" w:rsidRDefault="00F53BE1" w:rsidP="00F5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BE1" w:rsidRPr="00F53BE1" w:rsidTr="00F53BE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αἱ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ταῖς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τὰς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γλῶσσ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γλωσσ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γλώσσ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γλώσσ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γλῶσσ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τράπεζ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τραπεζ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τραπέζ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τραπέζ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τράπεζ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3BE1" w:rsidRPr="00F53BE1" w:rsidRDefault="00F53BE1" w:rsidP="00F5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53BE1" w:rsidRDefault="00F53BE1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Στα παραπάνω ουσιαστικά η γενική του ενικού σχηματίζεται σε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-ης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● </w:t>
      </w:r>
      <w:r w:rsidRPr="00F53BE1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Αυτό γίνεται, όταν στην ονομαστική πριν από το </w:t>
      </w:r>
      <w:r w:rsidRPr="00F53BE1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-α</w:t>
      </w:r>
      <w:r w:rsidRPr="00F53BE1">
        <w:rPr>
          <w:rFonts w:ascii="Calibri" w:hAnsi="Calibri" w:cs="Calibri"/>
          <w:color w:val="000000"/>
          <w:sz w:val="30"/>
          <w:szCs w:val="30"/>
          <w:u w:val="single"/>
          <w:shd w:val="clear" w:color="auto" w:fill="FFFFFF"/>
        </w:rPr>
        <w:t> υπάρχει σύμφωνο, εκτός από το </w:t>
      </w:r>
      <w:r w:rsidRPr="00F53BE1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ρ.</w:t>
      </w:r>
      <w:r w:rsidRPr="00F53BE1">
        <w:rPr>
          <w:rFonts w:ascii="Calibri" w:hAnsi="Calibri" w:cs="Calibri"/>
          <w:color w:val="000000"/>
          <w:sz w:val="30"/>
          <w:szCs w:val="30"/>
          <w:u w:val="single"/>
        </w:rPr>
        <w:br/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● Το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α 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αυτό είναι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βραχύχρονο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και λέγεται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μη καθαρό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  <w:r w:rsidRPr="00F53BE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F53BE1" w:rsidRDefault="00F53BE1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b/>
          <w:bCs/>
          <w:sz w:val="32"/>
          <w:szCs w:val="32"/>
        </w:rPr>
      </w:pPr>
    </w:p>
    <w:p w:rsidR="001137BA" w:rsidRDefault="001137BA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Arial" w:hAnsi="Arial" w:cs="Arial"/>
          <w:b/>
          <w:bCs/>
          <w:sz w:val="32"/>
          <w:szCs w:val="32"/>
          <w:u w:val="single"/>
        </w:rPr>
      </w:pPr>
    </w:p>
    <w:p w:rsidR="00F53BE1" w:rsidRPr="00F53BE1" w:rsidRDefault="00F53BE1" w:rsidP="00F53BE1">
      <w:pPr>
        <w:pStyle w:val="ca16"/>
        <w:spacing w:before="0" w:beforeAutospacing="0" w:after="0" w:afterAutospacing="0" w:line="416" w:lineRule="atLeast"/>
        <w:ind w:left="75" w:right="75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Θ</w:t>
      </w:r>
      <w:r w:rsidRPr="00F53BE1">
        <w:rPr>
          <w:rFonts w:ascii="Arial" w:hAnsi="Arial" w:cs="Arial"/>
          <w:b/>
          <w:bCs/>
          <w:sz w:val="32"/>
          <w:szCs w:val="32"/>
          <w:u w:val="single"/>
        </w:rPr>
        <w:t>ηλυκά σε -η (γενική -ης)</w:t>
      </w:r>
    </w:p>
    <w:p w:rsidR="00F53BE1" w:rsidRPr="00F53BE1" w:rsidRDefault="00F53BE1" w:rsidP="00F53BE1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F53BE1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1349"/>
        <w:gridCol w:w="1725"/>
        <w:gridCol w:w="63"/>
      </w:tblGrid>
      <w:tr w:rsidR="00F53BE1" w:rsidRPr="00F53BE1" w:rsidTr="00F53BE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οξύτονα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παροξύτονα</w:t>
            </w:r>
          </w:p>
        </w:tc>
      </w:tr>
      <w:tr w:rsidR="00F53BE1" w:rsidRPr="00F53BE1" w:rsidTr="00F53BE1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ἡ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τῆς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τῇ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τὴν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ή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ῆς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ῇ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ήν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ή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ῃ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ην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η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F53BE1" w:rsidRPr="00F53BE1" w:rsidRDefault="00F53BE1" w:rsidP="00F5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53BE1" w:rsidRPr="00F53BE1" w:rsidTr="00F53BE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αἱ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ταῖς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τὰς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  <w:t>ὦ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αί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αῖς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άς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ψυχ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αί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F53BE1" w:rsidRPr="00F53BE1" w:rsidRDefault="00F53BE1" w:rsidP="00F53BE1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κῶμ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κωμ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ῶν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αις</w:t>
            </w:r>
            <w:proofErr w:type="spellEnd"/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κώμ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ας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proofErr w:type="spellStart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κῶμ</w:t>
            </w:r>
            <w:proofErr w:type="spellEnd"/>
            <w:r w:rsidRPr="00F53BE1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F53BE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>αι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3BE1" w:rsidRPr="00F53BE1" w:rsidRDefault="00F53BE1" w:rsidP="00F5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53BE1" w:rsidRDefault="00F53BE1" w:rsidP="009D1D20">
      <w:pPr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</w:p>
    <w:p w:rsidR="00F53BE1" w:rsidRPr="009D1D20" w:rsidRDefault="00F53BE1" w:rsidP="009D1D20">
      <w:pPr>
        <w:rPr>
          <w:rFonts w:ascii="Arial" w:hAnsi="Arial" w:cs="Arial"/>
          <w:sz w:val="32"/>
          <w:szCs w:val="32"/>
        </w:rPr>
      </w:pPr>
    </w:p>
    <w:sectPr w:rsidR="00F53BE1" w:rsidRPr="009D1D20" w:rsidSect="00F80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A52"/>
    <w:multiLevelType w:val="multilevel"/>
    <w:tmpl w:val="5D0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AFC"/>
    <w:rsid w:val="000622BC"/>
    <w:rsid w:val="001137BA"/>
    <w:rsid w:val="003042F8"/>
    <w:rsid w:val="003E63BD"/>
    <w:rsid w:val="00432DC0"/>
    <w:rsid w:val="0062363E"/>
    <w:rsid w:val="006D54C1"/>
    <w:rsid w:val="006F1FBB"/>
    <w:rsid w:val="00891AFC"/>
    <w:rsid w:val="009D1D20"/>
    <w:rsid w:val="00A0399D"/>
    <w:rsid w:val="00CC5E8E"/>
    <w:rsid w:val="00E472E0"/>
    <w:rsid w:val="00EE26F4"/>
    <w:rsid w:val="00F53BE1"/>
    <w:rsid w:val="00F80B63"/>
    <w:rsid w:val="00FD0242"/>
    <w:rsid w:val="00FE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6">
    <w:name w:val="ca16"/>
    <w:basedOn w:val="a"/>
    <w:rsid w:val="0006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5j">
    <w:name w:val="ca15j"/>
    <w:basedOn w:val="a"/>
    <w:rsid w:val="0006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20">
    <w:name w:val="ca20"/>
    <w:basedOn w:val="a"/>
    <w:rsid w:val="009D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3E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dcterms:created xsi:type="dcterms:W3CDTF">2020-04-12T17:39:00Z</dcterms:created>
  <dcterms:modified xsi:type="dcterms:W3CDTF">2020-04-13T07:32:00Z</dcterms:modified>
</cp:coreProperties>
</file>