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Ο λογοτέχνης Μακρυγιάννης</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Με βάση τα ακόλουθα κείμενα του Μακρυγιάννη,  παρουσιάστε την άποψή σας για τον τρόπο γραφής του Μακρυγιάννη, απαντώντας στις ερωτήσεις:</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Τι συνέβει;</w:t>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b w:val="1"/>
        </w:rPr>
      </w:pP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rtl w:val="0"/>
        </w:rPr>
      </w:r>
    </w:p>
    <w:p w:rsidR="00000000" w:rsidDel="00000000" w:rsidP="00000000" w:rsidRDefault="00000000" w:rsidRPr="00000000" w14:paraId="0000000A">
      <w:pPr>
        <w:spacing w:line="276" w:lineRule="auto"/>
        <w:jc w:val="both"/>
        <w:rPr>
          <w:b w:val="1"/>
        </w:rPr>
      </w:pP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0C">
      <w:pPr>
        <w:spacing w:line="276" w:lineRule="auto"/>
        <w:jc w:val="both"/>
        <w:rPr>
          <w:b w:val="1"/>
        </w:rPr>
      </w:pP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rtl w:val="0"/>
        </w:rPr>
      </w:r>
    </w:p>
    <w:p w:rsidR="00000000" w:rsidDel="00000000" w:rsidP="00000000" w:rsidRDefault="00000000" w:rsidRPr="00000000" w14:paraId="0000000E">
      <w:pPr>
        <w:spacing w:line="276" w:lineRule="auto"/>
        <w:jc w:val="both"/>
        <w:rPr>
          <w:b w:val="1"/>
        </w:rPr>
      </w:pPr>
      <w:r w:rsidDel="00000000" w:rsidR="00000000" w:rsidRPr="00000000">
        <w:rPr>
          <w:rtl w:val="0"/>
        </w:rPr>
      </w:r>
    </w:p>
    <w:p w:rsidR="00000000" w:rsidDel="00000000" w:rsidP="00000000" w:rsidRDefault="00000000" w:rsidRPr="00000000" w14:paraId="0000000F">
      <w:pPr>
        <w:spacing w:line="276" w:lineRule="auto"/>
        <w:jc w:val="both"/>
        <w:rPr>
          <w:b w:val="1"/>
        </w:rPr>
      </w:pPr>
      <w:r w:rsidDel="00000000" w:rsidR="00000000" w:rsidRPr="00000000">
        <w:rPr>
          <w:b w:val="1"/>
          <w:rtl w:val="0"/>
        </w:rPr>
        <w:t xml:space="preserve">Ποιος αφηγείται;</w:t>
      </w:r>
    </w:p>
    <w:p w:rsidR="00000000" w:rsidDel="00000000" w:rsidP="00000000" w:rsidRDefault="00000000" w:rsidRPr="00000000" w14:paraId="00000010">
      <w:pPr>
        <w:spacing w:line="276" w:lineRule="auto"/>
        <w:jc w:val="both"/>
        <w:rPr>
          <w:b w:val="1"/>
        </w:rPr>
      </w:pPr>
      <w:r w:rsidDel="00000000" w:rsidR="00000000" w:rsidRPr="00000000">
        <w:rPr>
          <w:rtl w:val="0"/>
        </w:rPr>
      </w:r>
    </w:p>
    <w:p w:rsidR="00000000" w:rsidDel="00000000" w:rsidP="00000000" w:rsidRDefault="00000000" w:rsidRPr="00000000" w14:paraId="00000011">
      <w:pPr>
        <w:spacing w:line="276" w:lineRule="auto"/>
        <w:jc w:val="both"/>
        <w:rPr>
          <w:b w:val="1"/>
        </w:rPr>
      </w:pPr>
      <w:r w:rsidDel="00000000" w:rsidR="00000000" w:rsidRPr="00000000">
        <w:rPr>
          <w:rtl w:val="0"/>
        </w:rPr>
      </w:r>
    </w:p>
    <w:p w:rsidR="00000000" w:rsidDel="00000000" w:rsidP="00000000" w:rsidRDefault="00000000" w:rsidRPr="00000000" w14:paraId="00000012">
      <w:pPr>
        <w:spacing w:line="276" w:lineRule="auto"/>
        <w:jc w:val="both"/>
        <w:rPr>
          <w:b w:val="1"/>
        </w:rPr>
      </w:pPr>
      <w:r w:rsidDel="00000000" w:rsidR="00000000" w:rsidRPr="00000000">
        <w:rPr>
          <w:rtl w:val="0"/>
        </w:rPr>
      </w:r>
    </w:p>
    <w:p w:rsidR="00000000" w:rsidDel="00000000" w:rsidP="00000000" w:rsidRDefault="00000000" w:rsidRPr="00000000" w14:paraId="00000013">
      <w:pPr>
        <w:spacing w:line="276" w:lineRule="auto"/>
        <w:jc w:val="both"/>
        <w:rPr>
          <w:b w:val="1"/>
        </w:rPr>
      </w:pPr>
      <w:r w:rsidDel="00000000" w:rsidR="00000000" w:rsidRPr="00000000">
        <w:rPr>
          <w:rtl w:val="0"/>
        </w:rPr>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b w:val="1"/>
        </w:rPr>
      </w:pPr>
      <w:r w:rsidDel="00000000" w:rsidR="00000000" w:rsidRPr="00000000">
        <w:rPr>
          <w:b w:val="1"/>
          <w:rtl w:val="0"/>
        </w:rPr>
        <w:t xml:space="preserve">Ποιος είναι ο πρωταγωνιστής του γεγονότος;</w:t>
      </w:r>
    </w:p>
    <w:p w:rsidR="00000000" w:rsidDel="00000000" w:rsidP="00000000" w:rsidRDefault="00000000" w:rsidRPr="00000000" w14:paraId="00000017">
      <w:pPr>
        <w:spacing w:line="360" w:lineRule="auto"/>
        <w:jc w:val="both"/>
        <w:rPr>
          <w:b w:val="1"/>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rtl w:val="0"/>
        </w:rPr>
      </w:r>
    </w:p>
    <w:p w:rsidR="00000000" w:rsidDel="00000000" w:rsidP="00000000" w:rsidRDefault="00000000" w:rsidRPr="00000000" w14:paraId="0000001B">
      <w:pPr>
        <w:spacing w:line="360" w:lineRule="auto"/>
        <w:jc w:val="both"/>
        <w:rPr>
          <w:b w:val="1"/>
        </w:rPr>
      </w:pP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b w:val="1"/>
          <w:rtl w:val="0"/>
        </w:rPr>
        <w:t xml:space="preserve">Ποιες εντυπώσεις σας δημιουργεί ο τρόπος γραφής του και γιατί;</w:t>
      </w:r>
    </w:p>
    <w:p w:rsidR="00000000" w:rsidDel="00000000" w:rsidP="00000000" w:rsidRDefault="00000000" w:rsidRPr="00000000" w14:paraId="0000001D">
      <w:pPr>
        <w:spacing w:line="360" w:lineRule="auto"/>
        <w:jc w:val="both"/>
        <w:rPr>
          <w:b w:val="1"/>
        </w:rPr>
      </w:pPr>
      <w:r w:rsidDel="00000000" w:rsidR="00000000" w:rsidRPr="00000000">
        <w:rPr>
          <w:rtl w:val="0"/>
        </w:rPr>
      </w:r>
    </w:p>
    <w:p w:rsidR="00000000" w:rsidDel="00000000" w:rsidP="00000000" w:rsidRDefault="00000000" w:rsidRPr="00000000" w14:paraId="0000001E">
      <w:pPr>
        <w:spacing w:line="360" w:lineRule="auto"/>
        <w:jc w:val="both"/>
        <w:rPr>
          <w:b w:val="1"/>
        </w:rPr>
      </w:pPr>
      <w:r w:rsidDel="00000000" w:rsidR="00000000" w:rsidRPr="00000000">
        <w:rPr>
          <w:rtl w:val="0"/>
        </w:rPr>
      </w:r>
    </w:p>
    <w:p w:rsidR="00000000" w:rsidDel="00000000" w:rsidP="00000000" w:rsidRDefault="00000000" w:rsidRPr="00000000" w14:paraId="0000001F">
      <w:pPr>
        <w:spacing w:line="360" w:lineRule="auto"/>
        <w:jc w:val="both"/>
        <w:rPr>
          <w:b w:val="1"/>
        </w:rPr>
      </w:pPr>
      <w:r w:rsidDel="00000000" w:rsidR="00000000" w:rsidRPr="00000000">
        <w:rPr>
          <w:rtl w:val="0"/>
        </w:rPr>
      </w:r>
    </w:p>
    <w:p w:rsidR="00000000" w:rsidDel="00000000" w:rsidP="00000000" w:rsidRDefault="00000000" w:rsidRPr="00000000" w14:paraId="00000020">
      <w:pPr>
        <w:spacing w:line="360" w:lineRule="auto"/>
        <w:jc w:val="both"/>
        <w:rPr>
          <w:b w:val="1"/>
        </w:rPr>
      </w:pPr>
      <w:r w:rsidDel="00000000" w:rsidR="00000000" w:rsidRPr="00000000">
        <w:rPr>
          <w:rtl w:val="0"/>
        </w:rPr>
      </w:r>
    </w:p>
    <w:p w:rsidR="00000000" w:rsidDel="00000000" w:rsidP="00000000" w:rsidRDefault="00000000" w:rsidRPr="00000000" w14:paraId="00000021">
      <w:pPr>
        <w:spacing w:line="360" w:lineRule="auto"/>
        <w:jc w:val="both"/>
        <w:rPr>
          <w:b w:val="1"/>
        </w:rPr>
      </w:pPr>
      <w:r w:rsidDel="00000000" w:rsidR="00000000" w:rsidRPr="00000000">
        <w:rPr>
          <w:rtl w:val="0"/>
        </w:rPr>
      </w:r>
    </w:p>
    <w:p w:rsidR="00000000" w:rsidDel="00000000" w:rsidP="00000000" w:rsidRDefault="00000000" w:rsidRPr="00000000" w14:paraId="00000022">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after="120" w:before="120" w:line="276" w:lineRule="auto"/>
        <w:ind w:left="426" w:right="567" w:firstLine="708.000000000000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pacing w:after="120" w:before="120" w:line="276" w:lineRule="auto"/>
        <w:ind w:left="426" w:right="567" w:firstLine="708.000000000000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Αφοῦ μέ λευτέρωσαν καί πῆγα εἰς τό χαλασμένο μου σπίτι καί εἰς τήν ταλαίπωρή μου οικογένεια [...] μ᾿ ανάδωσαν οἰ πληγές, τήν μία Λαμπρή ἐπέρσι καί τήν Λαμπρή ὁποῦ πέρασε πάγει δυό χρόνια τώρα [...] πῆγα εἰς τή σπηλιά ὁποῦναι εἰς τό περιβόλι μου νά ξανασάνω [...] καί μέ τό στανιό καί ακουμπῶντα μέ τό ξύλο ἔσωσα ἐκεῖ, μοῦ ρίχνουν πέτρες καί μέ χτυποῦν καί μαγαρισές ἀνθρώπινες ἀπάνω μου· “Φάγε ἀπό αὐτές, στρατηγέ Μακρυγιάννη, νά χορτάσῃς ὁποὔθελες νά κάμῃς σύνταμα”. Καί μ᾿ ἀνοίγουν τόσες νέες πληγές ἀπό τά χτυπήματα κι᾿ ἀπό τά ἀγκυλώματα, καί μέ πάγει ὡς τήν σήμερον τό ὄμπυον, καί τό αἵμα ἀπό μπροστά καί ἀπό πίσω· ἐσάπισα, ἐσκουλίκιασα [...]. Αὐτά ἔστειλα εἰς τήν δημαρχία κι᾿ ἀκρόαση δέν μοὔδωσε. Καί ξακολούθαγε αὐτό ὡς τήν παραμονή τοῦ Σωτῆρος. Κι ἀνήμερα μέ χτύπησαν πολύ, ἔμεινα νεκρός, δέν στανόμουν ζωντανός εἷμαι ἤ πεθαμένος [...]. Νύχτωσα ἐκεῖ, καί μέ χέρια καί ποδάρια πῆγα κ’ ἔπεσα εἰς τό κρεβάτι μου νά μήν μέ ἰδῇ ἡ δυστυχισμένη μου οἰκογένεια. </w:t>
      </w:r>
      <w:r w:rsidDel="00000000" w:rsidR="00000000" w:rsidRPr="00000000">
        <w:rPr>
          <w:rFonts w:ascii="Times New Roman" w:cs="Times New Roman" w:eastAsia="Times New Roman" w:hAnsi="Times New Roman"/>
          <w:sz w:val="26"/>
          <w:szCs w:val="26"/>
          <w:vertAlign w:val="superscript"/>
        </w:rPr>
        <w:footnoteReference w:customMarkFollows="0" w:id="0"/>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(Απομνημονεύματα, 1907: Α΄, πς-πζ)</w:t>
      </w:r>
    </w:p>
    <w:p w:rsidR="00000000" w:rsidDel="00000000" w:rsidP="00000000" w:rsidRDefault="00000000" w:rsidRPr="00000000" w14:paraId="0000002B">
      <w:pPr>
        <w:spacing w:after="120" w:before="120" w:line="276" w:lineRule="auto"/>
        <w:ind w:left="426" w:right="567" w:firstLine="708.000000000000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Κ’ ὅσα σημειώνω τὰ σημειώνω γιατί δὲν ὑποφέρνω νὰ βλέπω τὸ ἄδικον νὰ πνίγῃ τὸ δίκιον. Διὰ ’κείνο ἔμαθα γράμματα εἰς τὰ γεράματα καὶ κάνω αὐτὸ τὸ γράψιμον τὸ ἀπελέκητο, ὅτι δὲν εἶχα τὸν τρόπον ὄντας παιδὶ νὰ σπουδάξω˙[...] ἕνα πρᾶμα μόνον μὲ παρακίνησε κ’ ἐμένα νὰ γράψω, ὅτι τούτην τὴν πατρίδα τὴν ἔχομεν ὅλοι μαζί, καὶ σοφοὶ καὶ ἀμαθεῖς καὶ πλούσιοι καὶ φτωχοὶ καὶ πολιτικοὶ καὶ στρατιωτικοὶ καὶ οἱ πλέον μικρότεροι ἄνθρωποι˙ ὅσοι ἀγωνιστήκαμεν, ἀναλόγως ὁ καθείς, ἔχομεν νὰ ζήσωμεν ἐδῶ. Τὸ λοιπὸν δουλέψαμεν ὅλοι μαζί, νὰ τὴν φυλᾶμεν κι’ ὅλοι μαζὶ καὶ νὰ μὴν λέγῃ οὔτε ὁ δυνατὸς «ἐγώ» , οὔτε ὁ ἀδύνατος. Ξέρετε πότε νὰ λέγῃ ὁ καθεὶς «ἐγώ»; Ὅταν ἀγωνιστῇ μόνος του καὶ φκειάσῃ, ἢ χαλάσῃ, νὰ λέγῃ ἐγώ˙ ὅταν ὅμως ἀγωνίζονται πολλοὶ καὶ φκειάνουν, τότε νὰ λένε «ἐμεῖς». Εἴμαστε εἰς τὸ «ἐμεῖς» κι’ ὄχι εἰς τὸ «ἐγώ». Καὶ εἰς τὸ ἑξῆς νὰ μάθωμεν γνώση, ἂν θέλωμεν νὰ φκειάσωμεν χωριόν, νὰ ζήσωμεν ὅλοι μαζί.</w:t>
      </w:r>
      <w:r w:rsidDel="00000000" w:rsidR="00000000" w:rsidRPr="00000000">
        <w:rPr>
          <w:rFonts w:ascii="Times New Roman" w:cs="Times New Roman" w:eastAsia="Times New Roman" w:hAnsi="Times New Roman"/>
          <w:sz w:val="26"/>
          <w:szCs w:val="26"/>
          <w:rtl w:val="0"/>
        </w:rPr>
        <w:t xml:space="preserve"> (Απομνημονεύματα, 1907: Β΄, 463-464)</w:t>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jc w:val="both"/>
        <w:rPr>
          <w:rFonts w:ascii="Times New Roman" w:cs="Times New Roman" w:eastAsia="Times New Roman" w:hAnsi="Times New Roman"/>
          <w:sz w:val="20"/>
          <w:szCs w:val="20"/>
        </w:rPr>
      </w:pPr>
      <w:bookmarkStart w:colFirst="0" w:colLast="0" w:name="_ihv636" w:id="0"/>
      <w:bookmarkEnd w:id="0"/>
      <w:r w:rsidDel="00000000" w:rsidR="00000000" w:rsidRPr="00000000">
        <w:rPr>
          <w:rStyle w:val="FootnoteReference"/>
          <w:vertAlign w:val="superscript"/>
        </w:rPr>
        <w:footnoteRef/>
      </w:r>
      <w:r w:rsidDel="00000000" w:rsidR="00000000" w:rsidRPr="00000000">
        <w:rPr>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ἀποσπάσματά τινα διατριβῆς τοῦ Μακρυγιάννη ἀποσταλείσης πρός τόν Γ. Βερύκιον εἰς Ζάκυνθον τήν 12 Φεβρουαρίου 1859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