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42" w:type="dxa"/>
        <w:tblInd w:w="-34" w:type="dxa"/>
        <w:tblLook w:val="00A0"/>
      </w:tblPr>
      <w:tblGrid>
        <w:gridCol w:w="5437"/>
        <w:gridCol w:w="4605"/>
      </w:tblGrid>
      <w:tr w:rsidR="00FE30AD" w:rsidTr="00A5418B">
        <w:trPr>
          <w:trHeight w:hRule="exact" w:val="640"/>
        </w:trPr>
        <w:tc>
          <w:tcPr>
            <w:tcW w:w="5437" w:type="dxa"/>
          </w:tcPr>
          <w:p w:rsidR="00FE30AD" w:rsidRDefault="005149E5" w:rsidP="00A5418B">
            <w:pPr>
              <w:ind w:left="34"/>
              <w:jc w:val="center"/>
              <w:rPr>
                <w:sz w:val="24"/>
                <w:szCs w:val="24"/>
              </w:rPr>
            </w:pPr>
            <w:r>
              <w:rPr>
                <w:noProof/>
                <w:lang w:eastAsia="el-GR"/>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4"/>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FE30AD" w:rsidRPr="00D10273" w:rsidRDefault="00FE30AD" w:rsidP="00A5418B">
            <w:pPr>
              <w:ind w:left="34"/>
              <w:jc w:val="center"/>
              <w:rPr>
                <w:sz w:val="24"/>
                <w:szCs w:val="24"/>
              </w:rPr>
            </w:pPr>
          </w:p>
        </w:tc>
        <w:tc>
          <w:tcPr>
            <w:tcW w:w="4605" w:type="dxa"/>
          </w:tcPr>
          <w:p w:rsidR="00FE30AD" w:rsidRPr="00D10273" w:rsidRDefault="00FE30AD" w:rsidP="00A5418B">
            <w:pPr>
              <w:ind w:left="175"/>
              <w:contextualSpacing/>
            </w:pPr>
          </w:p>
        </w:tc>
      </w:tr>
      <w:tr w:rsidR="00FE30AD" w:rsidTr="00A5418B">
        <w:trPr>
          <w:trHeight w:val="617"/>
        </w:trPr>
        <w:tc>
          <w:tcPr>
            <w:tcW w:w="5437" w:type="dxa"/>
          </w:tcPr>
          <w:p w:rsidR="00FE30AD" w:rsidRPr="00411CAC" w:rsidRDefault="00FE30AD" w:rsidP="00A5418B">
            <w:pPr>
              <w:ind w:left="34"/>
              <w:jc w:val="center"/>
              <w:rPr>
                <w:sz w:val="22"/>
                <w:szCs w:val="22"/>
              </w:rPr>
            </w:pPr>
            <w:r w:rsidRPr="00411CAC">
              <w:rPr>
                <w:sz w:val="22"/>
                <w:szCs w:val="22"/>
              </w:rPr>
              <w:t xml:space="preserve"> ΕΛΛΗΝΙΚΗ ΔΗΜΟΚΡΑΤΙΑ</w:t>
            </w:r>
          </w:p>
          <w:p w:rsidR="00FE30AD" w:rsidRPr="00411CAC" w:rsidRDefault="00FE30AD" w:rsidP="00A5418B">
            <w:pPr>
              <w:ind w:left="34"/>
              <w:jc w:val="center"/>
              <w:rPr>
                <w:sz w:val="22"/>
                <w:szCs w:val="22"/>
              </w:rPr>
            </w:pPr>
            <w:r w:rsidRPr="00411CAC">
              <w:rPr>
                <w:sz w:val="22"/>
                <w:szCs w:val="22"/>
              </w:rPr>
              <w:t>ΥΠΟΥΡΓΕΙΟ  ΠΑΙΔΕΙΑΣ</w:t>
            </w:r>
            <w:r w:rsidRPr="003C59B7">
              <w:rPr>
                <w:sz w:val="22"/>
                <w:szCs w:val="22"/>
              </w:rPr>
              <w:t>, ΕΡΕΥΝΑΣ</w:t>
            </w:r>
            <w:r w:rsidRPr="00411CAC">
              <w:rPr>
                <w:sz w:val="22"/>
                <w:szCs w:val="22"/>
              </w:rPr>
              <w:t xml:space="preserve"> ΚΑΙ ΘΡΗΣΚΕΥΜΑΤΩΝ</w:t>
            </w:r>
          </w:p>
          <w:p w:rsidR="00FE30AD" w:rsidRPr="00411CAC" w:rsidRDefault="00FE30AD" w:rsidP="00A5418B">
            <w:pPr>
              <w:ind w:left="34"/>
              <w:jc w:val="center"/>
              <w:rPr>
                <w:sz w:val="22"/>
                <w:szCs w:val="22"/>
              </w:rPr>
            </w:pPr>
            <w:r w:rsidRPr="00411CAC">
              <w:rPr>
                <w:sz w:val="22"/>
                <w:szCs w:val="22"/>
              </w:rPr>
              <w:t>-----</w:t>
            </w:r>
          </w:p>
        </w:tc>
        <w:tc>
          <w:tcPr>
            <w:tcW w:w="4605" w:type="dxa"/>
          </w:tcPr>
          <w:p w:rsidR="00FE30AD" w:rsidRPr="00D10273" w:rsidRDefault="00FE30AD" w:rsidP="00A5418B">
            <w:pPr>
              <w:ind w:left="175"/>
              <w:contextualSpacing/>
            </w:pPr>
          </w:p>
          <w:p w:rsidR="00FE30AD" w:rsidRPr="00D10273" w:rsidRDefault="00FE30AD" w:rsidP="00A5418B">
            <w:pPr>
              <w:ind w:left="175"/>
              <w:contextualSpacing/>
            </w:pPr>
          </w:p>
          <w:p w:rsidR="00FE30AD" w:rsidRDefault="00FE30AD" w:rsidP="00A5418B">
            <w:pPr>
              <w:ind w:left="175"/>
              <w:contextualSpacing/>
            </w:pPr>
          </w:p>
        </w:tc>
      </w:tr>
      <w:tr w:rsidR="00FE30AD" w:rsidTr="00A5418B">
        <w:trPr>
          <w:trHeight w:val="1027"/>
        </w:trPr>
        <w:tc>
          <w:tcPr>
            <w:tcW w:w="5437" w:type="dxa"/>
          </w:tcPr>
          <w:p w:rsidR="00FE30AD" w:rsidRPr="00411CAC" w:rsidRDefault="00FE30AD" w:rsidP="00A5418B">
            <w:pPr>
              <w:ind w:left="34"/>
              <w:contextualSpacing/>
              <w:jc w:val="center"/>
              <w:rPr>
                <w:sz w:val="22"/>
                <w:szCs w:val="22"/>
              </w:rPr>
            </w:pPr>
            <w:r w:rsidRPr="00411CAC">
              <w:rPr>
                <w:sz w:val="22"/>
                <w:szCs w:val="22"/>
              </w:rPr>
              <w:t>ΓΕΝΙΚΗ ΔΙΕΥΘΥΝΣΗ ΣΤΡΑΤΗΓΙΚΟΥ ΣΧΕΔΙΑΣΜΟΥ, ΠΡΟΓΡΑΜΜΑΤΙΣΜΟΥ ΚΑΙ ΗΛΕΚΤΡΟΝΙΚΗΣ ΔΙΑΚΥΒΕΡΝΗΣΗΣ</w:t>
            </w:r>
          </w:p>
          <w:p w:rsidR="00FE30AD" w:rsidRPr="00411CAC" w:rsidRDefault="00FE30AD" w:rsidP="00A5418B">
            <w:pPr>
              <w:ind w:left="34"/>
              <w:contextualSpacing/>
              <w:jc w:val="center"/>
              <w:rPr>
                <w:sz w:val="22"/>
                <w:szCs w:val="22"/>
              </w:rPr>
            </w:pPr>
            <w:r w:rsidRPr="00411CAC">
              <w:rPr>
                <w:sz w:val="22"/>
                <w:szCs w:val="22"/>
              </w:rPr>
              <w:t>ΔΙΕΥΘΥΝΣΗ ΕΞΕΤΑΣΕΩΝ ΚΑΙ ΠΙΣΤΟΠΟΙΗΣΕΩΝ</w:t>
            </w:r>
          </w:p>
          <w:p w:rsidR="00FE30AD" w:rsidRPr="00411CAC" w:rsidRDefault="00FE30AD" w:rsidP="00A5418B">
            <w:pPr>
              <w:ind w:left="34"/>
              <w:contextualSpacing/>
              <w:jc w:val="center"/>
              <w:rPr>
                <w:sz w:val="22"/>
                <w:szCs w:val="22"/>
              </w:rPr>
            </w:pPr>
            <w:r>
              <w:rPr>
                <w:sz w:val="22"/>
                <w:szCs w:val="22"/>
              </w:rPr>
              <w:t>ΤΜΗΜΑ Α΄</w:t>
            </w:r>
            <w:r w:rsidRPr="00411CAC">
              <w:rPr>
                <w:sz w:val="22"/>
                <w:szCs w:val="22"/>
              </w:rPr>
              <w:t xml:space="preserve"> </w:t>
            </w:r>
          </w:p>
          <w:p w:rsidR="00FE30AD" w:rsidRPr="00411CAC" w:rsidRDefault="00FE30AD" w:rsidP="00A5418B">
            <w:pPr>
              <w:ind w:left="34"/>
              <w:contextualSpacing/>
              <w:jc w:val="center"/>
              <w:rPr>
                <w:sz w:val="22"/>
                <w:szCs w:val="22"/>
              </w:rPr>
            </w:pPr>
            <w:r w:rsidRPr="00411CAC">
              <w:rPr>
                <w:sz w:val="22"/>
                <w:szCs w:val="22"/>
              </w:rPr>
              <w:t>-----</w:t>
            </w:r>
          </w:p>
        </w:tc>
        <w:tc>
          <w:tcPr>
            <w:tcW w:w="4605" w:type="dxa"/>
          </w:tcPr>
          <w:p w:rsidR="00FE30AD" w:rsidRPr="00411CAC" w:rsidRDefault="00FE30AD" w:rsidP="00A5418B">
            <w:pPr>
              <w:ind w:left="175"/>
              <w:contextualSpacing/>
              <w:rPr>
                <w:sz w:val="22"/>
                <w:szCs w:val="22"/>
              </w:rPr>
            </w:pPr>
            <w:r w:rsidRPr="00411CAC">
              <w:rPr>
                <w:sz w:val="22"/>
                <w:szCs w:val="22"/>
              </w:rPr>
              <w:t xml:space="preserve">Βαθμός Ασφαλείας: </w:t>
            </w:r>
          </w:p>
          <w:p w:rsidR="00FE30AD" w:rsidRPr="00411CAC" w:rsidRDefault="00FE30AD" w:rsidP="00A5418B">
            <w:pPr>
              <w:ind w:left="175"/>
              <w:contextualSpacing/>
              <w:rPr>
                <w:sz w:val="22"/>
                <w:szCs w:val="22"/>
              </w:rPr>
            </w:pPr>
            <w:r w:rsidRPr="00411CAC">
              <w:rPr>
                <w:sz w:val="22"/>
                <w:szCs w:val="22"/>
              </w:rPr>
              <w:t>Να διατηρηθεί μέχρι:</w:t>
            </w:r>
          </w:p>
          <w:p w:rsidR="00FE30AD" w:rsidRPr="00411CAC" w:rsidRDefault="00FE30AD" w:rsidP="00A5418B">
            <w:pPr>
              <w:ind w:left="175"/>
              <w:rPr>
                <w:sz w:val="22"/>
                <w:szCs w:val="22"/>
              </w:rPr>
            </w:pPr>
            <w:r w:rsidRPr="00411CAC">
              <w:rPr>
                <w:sz w:val="22"/>
                <w:szCs w:val="22"/>
              </w:rPr>
              <w:t>Βαθμός Προτεραιότητας:</w:t>
            </w:r>
          </w:p>
          <w:p w:rsidR="00FE30AD" w:rsidRPr="00D233B9" w:rsidRDefault="00FE30AD" w:rsidP="00A5418B">
            <w:pPr>
              <w:ind w:left="175"/>
            </w:pPr>
          </w:p>
        </w:tc>
      </w:tr>
      <w:tr w:rsidR="00FE30AD" w:rsidTr="00A5418B">
        <w:trPr>
          <w:trHeight w:val="813"/>
        </w:trPr>
        <w:tc>
          <w:tcPr>
            <w:tcW w:w="5437" w:type="dxa"/>
            <w:vMerge w:val="restart"/>
          </w:tcPr>
          <w:p w:rsidR="00FE30AD" w:rsidRPr="00411CAC" w:rsidRDefault="00FE30AD" w:rsidP="00A5418B">
            <w:pPr>
              <w:ind w:left="34"/>
              <w:contextualSpacing/>
              <w:rPr>
                <w:sz w:val="22"/>
                <w:szCs w:val="22"/>
              </w:rPr>
            </w:pPr>
            <w:r w:rsidRPr="00411CAC">
              <w:rPr>
                <w:sz w:val="22"/>
                <w:szCs w:val="22"/>
              </w:rPr>
              <w:t>Ταχ. Δ/νση</w:t>
            </w:r>
            <w:r w:rsidRPr="00411CAC">
              <w:rPr>
                <w:sz w:val="22"/>
                <w:szCs w:val="22"/>
              </w:rPr>
              <w:tab/>
              <w:t>: Ανδρέα Παπανδρέου 37</w:t>
            </w:r>
          </w:p>
          <w:p w:rsidR="00FE30AD" w:rsidRPr="00411CAC" w:rsidRDefault="00FE30AD" w:rsidP="00A5418B">
            <w:pPr>
              <w:ind w:left="34"/>
              <w:contextualSpacing/>
              <w:rPr>
                <w:sz w:val="22"/>
                <w:szCs w:val="22"/>
              </w:rPr>
            </w:pPr>
            <w:r w:rsidRPr="00411CAC">
              <w:rPr>
                <w:sz w:val="22"/>
                <w:szCs w:val="22"/>
              </w:rPr>
              <w:t>Τ.Κ. – Πόλη</w:t>
            </w:r>
            <w:r w:rsidRPr="00411CAC">
              <w:rPr>
                <w:sz w:val="22"/>
                <w:szCs w:val="22"/>
              </w:rPr>
              <w:tab/>
              <w:t>: 15180 – Μαρούσι</w:t>
            </w:r>
          </w:p>
          <w:p w:rsidR="00FE30AD" w:rsidRPr="00411CAC" w:rsidRDefault="00FE30AD" w:rsidP="00A5418B">
            <w:pPr>
              <w:ind w:left="34"/>
              <w:contextualSpacing/>
              <w:rPr>
                <w:sz w:val="22"/>
                <w:szCs w:val="22"/>
              </w:rPr>
            </w:pPr>
            <w:r w:rsidRPr="00411CAC">
              <w:rPr>
                <w:sz w:val="22"/>
                <w:szCs w:val="22"/>
              </w:rPr>
              <w:t>Ιστοσελίδα</w:t>
            </w:r>
            <w:r w:rsidRPr="00411CAC">
              <w:rPr>
                <w:sz w:val="22"/>
                <w:szCs w:val="22"/>
              </w:rPr>
              <w:tab/>
              <w:t xml:space="preserve">: </w:t>
            </w:r>
            <w:hyperlink r:id="rId5" w:history="1">
              <w:r w:rsidRPr="00411CAC">
                <w:rPr>
                  <w:sz w:val="22"/>
                  <w:szCs w:val="22"/>
                  <w:lang w:val="en-US"/>
                </w:rPr>
                <w:t>http</w:t>
              </w:r>
              <w:r w:rsidRPr="00411CAC">
                <w:rPr>
                  <w:sz w:val="22"/>
                  <w:szCs w:val="22"/>
                </w:rPr>
                <w:t>://</w:t>
              </w:r>
              <w:r w:rsidRPr="00411CAC">
                <w:rPr>
                  <w:sz w:val="22"/>
                  <w:szCs w:val="22"/>
                  <w:lang w:val="en-US"/>
                </w:rPr>
                <w:t>www</w:t>
              </w:r>
              <w:r w:rsidRPr="00411CAC">
                <w:rPr>
                  <w:sz w:val="22"/>
                  <w:szCs w:val="22"/>
                </w:rPr>
                <w:t>.</w:t>
              </w:r>
              <w:r w:rsidRPr="00411CAC">
                <w:rPr>
                  <w:sz w:val="22"/>
                  <w:szCs w:val="22"/>
                  <w:lang w:val="en-US"/>
                </w:rPr>
                <w:t>minedu</w:t>
              </w:r>
              <w:r w:rsidRPr="00411CAC">
                <w:rPr>
                  <w:sz w:val="22"/>
                  <w:szCs w:val="22"/>
                </w:rPr>
                <w:t>.</w:t>
              </w:r>
              <w:r w:rsidRPr="00411CAC">
                <w:rPr>
                  <w:sz w:val="22"/>
                  <w:szCs w:val="22"/>
                  <w:lang w:val="en-US"/>
                </w:rPr>
                <w:t>gov</w:t>
              </w:r>
              <w:r w:rsidRPr="00411CAC">
                <w:rPr>
                  <w:sz w:val="22"/>
                  <w:szCs w:val="22"/>
                </w:rPr>
                <w:t>.</w:t>
              </w:r>
              <w:r w:rsidRPr="00411CAC">
                <w:rPr>
                  <w:sz w:val="22"/>
                  <w:szCs w:val="22"/>
                  <w:lang w:val="en-US"/>
                </w:rPr>
                <w:t>gr</w:t>
              </w:r>
            </w:hyperlink>
          </w:p>
          <w:p w:rsidR="00FE30AD" w:rsidRPr="00411CAC" w:rsidRDefault="00FE30AD" w:rsidP="00A5418B">
            <w:pPr>
              <w:ind w:left="34"/>
              <w:contextualSpacing/>
              <w:rPr>
                <w:sz w:val="22"/>
                <w:szCs w:val="22"/>
              </w:rPr>
            </w:pPr>
            <w:r w:rsidRPr="00411CAC">
              <w:rPr>
                <w:sz w:val="22"/>
                <w:szCs w:val="22"/>
                <w:lang w:val="en-US"/>
              </w:rPr>
              <w:t>Email</w:t>
            </w:r>
            <w:r w:rsidRPr="00411CAC">
              <w:rPr>
                <w:sz w:val="22"/>
                <w:szCs w:val="22"/>
              </w:rPr>
              <w:tab/>
            </w:r>
            <w:r w:rsidRPr="00411CAC">
              <w:rPr>
                <w:sz w:val="22"/>
                <w:szCs w:val="22"/>
              </w:rPr>
              <w:tab/>
              <w:t xml:space="preserve">: </w:t>
            </w:r>
            <w:r w:rsidRPr="00411CAC">
              <w:rPr>
                <w:sz w:val="22"/>
                <w:szCs w:val="22"/>
                <w:lang w:val="en-US"/>
              </w:rPr>
              <w:t>t</w:t>
            </w:r>
            <w:r w:rsidRPr="00411CAC">
              <w:rPr>
                <w:sz w:val="22"/>
                <w:szCs w:val="22"/>
              </w:rPr>
              <w:t>01</w:t>
            </w:r>
            <w:r w:rsidRPr="00411CAC">
              <w:rPr>
                <w:sz w:val="22"/>
                <w:szCs w:val="22"/>
                <w:lang w:val="en-US"/>
              </w:rPr>
              <w:t>ode</w:t>
            </w:r>
            <w:r w:rsidRPr="00411CAC">
              <w:rPr>
                <w:sz w:val="22"/>
                <w:szCs w:val="22"/>
              </w:rPr>
              <w:t>2@</w:t>
            </w:r>
            <w:r w:rsidRPr="00411CAC">
              <w:rPr>
                <w:sz w:val="22"/>
                <w:szCs w:val="22"/>
                <w:lang w:val="en-US"/>
              </w:rPr>
              <w:t>minedu</w:t>
            </w:r>
            <w:r w:rsidRPr="00411CAC">
              <w:rPr>
                <w:sz w:val="22"/>
                <w:szCs w:val="22"/>
              </w:rPr>
              <w:t>.</w:t>
            </w:r>
            <w:r w:rsidRPr="00411CAC">
              <w:rPr>
                <w:sz w:val="22"/>
                <w:szCs w:val="22"/>
                <w:lang w:val="en-US"/>
              </w:rPr>
              <w:t>gov</w:t>
            </w:r>
            <w:r w:rsidRPr="00411CAC">
              <w:rPr>
                <w:sz w:val="22"/>
                <w:szCs w:val="22"/>
              </w:rPr>
              <w:t>.</w:t>
            </w:r>
            <w:r w:rsidRPr="00411CAC">
              <w:rPr>
                <w:sz w:val="22"/>
                <w:szCs w:val="22"/>
                <w:lang w:val="en-US"/>
              </w:rPr>
              <w:t>gr</w:t>
            </w:r>
            <w:r w:rsidRPr="00411CAC">
              <w:rPr>
                <w:sz w:val="22"/>
                <w:szCs w:val="22"/>
              </w:rPr>
              <w:t xml:space="preserve"> </w:t>
            </w:r>
          </w:p>
          <w:p w:rsidR="00FE30AD" w:rsidRPr="00411CAC" w:rsidRDefault="00FE30AD" w:rsidP="00A5418B">
            <w:pPr>
              <w:ind w:left="34"/>
              <w:contextualSpacing/>
              <w:rPr>
                <w:sz w:val="22"/>
                <w:szCs w:val="22"/>
              </w:rPr>
            </w:pPr>
            <w:r>
              <w:rPr>
                <w:sz w:val="22"/>
                <w:szCs w:val="22"/>
              </w:rPr>
              <w:t>Πληροφορίες</w:t>
            </w:r>
            <w:r>
              <w:rPr>
                <w:sz w:val="22"/>
                <w:szCs w:val="22"/>
              </w:rPr>
              <w:tab/>
              <w:t>: Γκούφας Ε. 2103442099 ( ΓΕ.Λ)</w:t>
            </w:r>
          </w:p>
          <w:p w:rsidR="00FE30AD" w:rsidRDefault="00FE30AD" w:rsidP="00A5418B">
            <w:pPr>
              <w:ind w:left="34"/>
              <w:contextualSpacing/>
              <w:rPr>
                <w:sz w:val="22"/>
                <w:szCs w:val="22"/>
              </w:rPr>
            </w:pPr>
            <w:r>
              <w:rPr>
                <w:sz w:val="22"/>
                <w:szCs w:val="22"/>
              </w:rPr>
              <w:t xml:space="preserve">                           Νικητοπούλου Θ. 2103442688 (ΕΠΑΛ)</w:t>
            </w:r>
          </w:p>
          <w:p w:rsidR="00FE30AD" w:rsidRPr="00411CAC" w:rsidRDefault="00FE30AD" w:rsidP="00A5418B">
            <w:pPr>
              <w:ind w:left="34"/>
              <w:contextualSpacing/>
              <w:rPr>
                <w:sz w:val="22"/>
                <w:szCs w:val="22"/>
              </w:rPr>
            </w:pPr>
            <w:r>
              <w:rPr>
                <w:sz w:val="22"/>
                <w:szCs w:val="22"/>
              </w:rPr>
              <w:t xml:space="preserve">                           </w:t>
            </w:r>
            <w:r w:rsidRPr="00411CAC">
              <w:rPr>
                <w:sz w:val="22"/>
                <w:szCs w:val="22"/>
                <w:lang w:val="en-US"/>
              </w:rPr>
              <w:t>FAX</w:t>
            </w:r>
            <w:r w:rsidRPr="00411CAC">
              <w:rPr>
                <w:sz w:val="22"/>
                <w:szCs w:val="22"/>
              </w:rPr>
              <w:t>: 210 3442098</w:t>
            </w:r>
          </w:p>
        </w:tc>
        <w:tc>
          <w:tcPr>
            <w:tcW w:w="4605" w:type="dxa"/>
          </w:tcPr>
          <w:p w:rsidR="00FE30AD" w:rsidRPr="0029538D" w:rsidRDefault="00FE30AD" w:rsidP="00A5418B">
            <w:pPr>
              <w:ind w:left="175"/>
              <w:contextualSpacing/>
              <w:rPr>
                <w:b/>
                <w:lang w:val="en-US"/>
              </w:rPr>
            </w:pPr>
            <w:r w:rsidRPr="00874D6F">
              <w:rPr>
                <w:b/>
              </w:rPr>
              <w:t>Μαρούσι</w:t>
            </w:r>
            <w:r w:rsidRPr="003475EA">
              <w:rPr>
                <w:b/>
              </w:rPr>
              <w:t xml:space="preserve">,  </w:t>
            </w:r>
            <w:r>
              <w:rPr>
                <w:b/>
                <w:lang w:val="en-US"/>
              </w:rPr>
              <w:t>25/05/2016</w:t>
            </w:r>
          </w:p>
          <w:p w:rsidR="00FE30AD" w:rsidRPr="00874D6F" w:rsidRDefault="00FE30AD" w:rsidP="00A5418B">
            <w:pPr>
              <w:ind w:left="175"/>
              <w:rPr>
                <w:b/>
              </w:rPr>
            </w:pPr>
            <w:r>
              <w:rPr>
                <w:b/>
              </w:rPr>
              <w:t>Αρ. Πρωτοκόλλου: Φ.251</w:t>
            </w:r>
            <w:r w:rsidRPr="00874D6F">
              <w:rPr>
                <w:b/>
              </w:rPr>
              <w:t>/</w:t>
            </w:r>
            <w:r>
              <w:rPr>
                <w:b/>
                <w:lang w:val="en-US"/>
              </w:rPr>
              <w:t>84341</w:t>
            </w:r>
            <w:r>
              <w:rPr>
                <w:b/>
              </w:rPr>
              <w:t xml:space="preserve"> </w:t>
            </w:r>
            <w:r w:rsidRPr="00874D6F">
              <w:rPr>
                <w:b/>
              </w:rPr>
              <w:t>/Α5</w:t>
            </w:r>
          </w:p>
          <w:p w:rsidR="00FE30AD" w:rsidRPr="00874D6F" w:rsidRDefault="00FE30AD" w:rsidP="00A5418B">
            <w:pPr>
              <w:ind w:left="175"/>
            </w:pPr>
            <w:r w:rsidRPr="00874D6F">
              <w:t xml:space="preserve">          </w:t>
            </w:r>
          </w:p>
        </w:tc>
      </w:tr>
      <w:tr w:rsidR="00FE30AD" w:rsidTr="00A5418B">
        <w:trPr>
          <w:trHeight w:val="818"/>
        </w:trPr>
        <w:tc>
          <w:tcPr>
            <w:tcW w:w="5437" w:type="dxa"/>
            <w:vMerge/>
          </w:tcPr>
          <w:p w:rsidR="00FE30AD" w:rsidRPr="00D233B9" w:rsidRDefault="00FE30AD" w:rsidP="00A5418B">
            <w:pPr>
              <w:ind w:left="34"/>
            </w:pPr>
          </w:p>
        </w:tc>
        <w:tc>
          <w:tcPr>
            <w:tcW w:w="4605" w:type="dxa"/>
          </w:tcPr>
          <w:p w:rsidR="00FE30AD" w:rsidRPr="00112B8C" w:rsidRDefault="00FE30AD" w:rsidP="00A5418B">
            <w:pPr>
              <w:tabs>
                <w:tab w:val="left" w:pos="941"/>
              </w:tabs>
              <w:ind w:left="175"/>
              <w:contextualSpacing/>
              <w:rPr>
                <w:sz w:val="22"/>
                <w:szCs w:val="22"/>
              </w:rPr>
            </w:pPr>
            <w:r w:rsidRPr="00874D6F">
              <w:rPr>
                <w:b/>
              </w:rPr>
              <w:t>ΠΡΟΣ</w:t>
            </w:r>
            <w:r w:rsidRPr="00874D6F">
              <w:t xml:space="preserve"> : </w:t>
            </w:r>
            <w:r w:rsidRPr="00112B8C">
              <w:rPr>
                <w:b/>
              </w:rPr>
              <w:t>1)</w:t>
            </w:r>
            <w:r>
              <w:rPr>
                <w:b/>
              </w:rPr>
              <w:t xml:space="preserve"> Περιφερειακούς Δ/ντες Εκπαίδευσης</w:t>
            </w:r>
          </w:p>
          <w:p w:rsidR="00FE30AD" w:rsidRPr="00112B8C" w:rsidRDefault="00FE30AD" w:rsidP="00A5418B">
            <w:pPr>
              <w:ind w:left="175"/>
              <w:contextualSpacing/>
              <w:rPr>
                <w:b/>
              </w:rPr>
            </w:pPr>
            <w:r>
              <w:t xml:space="preserve">               </w:t>
            </w:r>
            <w:r w:rsidRPr="00112B8C">
              <w:rPr>
                <w:b/>
              </w:rPr>
              <w:t>2) Διευθυντές Δ/νσεων Δ.Ε.</w:t>
            </w:r>
          </w:p>
          <w:p w:rsidR="00FE30AD" w:rsidRPr="00112B8C" w:rsidRDefault="00FE30AD" w:rsidP="00A5418B">
            <w:pPr>
              <w:ind w:left="175"/>
              <w:contextualSpacing/>
              <w:rPr>
                <w:b/>
              </w:rPr>
            </w:pPr>
            <w:r w:rsidRPr="00112B8C">
              <w:rPr>
                <w:b/>
              </w:rPr>
              <w:t xml:space="preserve">               3) Διευθυντές ΓΕΛ και ΕΠΑ.Λ (δια των </w:t>
            </w:r>
          </w:p>
          <w:p w:rsidR="00FE30AD" w:rsidRDefault="00FE30AD" w:rsidP="00A5418B">
            <w:pPr>
              <w:ind w:left="175"/>
              <w:contextualSpacing/>
              <w:rPr>
                <w:b/>
              </w:rPr>
            </w:pPr>
            <w:r w:rsidRPr="00112B8C">
              <w:rPr>
                <w:b/>
              </w:rPr>
              <w:t xml:space="preserve">                   Δ/νσεων Δ.Ε )</w:t>
            </w:r>
          </w:p>
          <w:p w:rsidR="00FE30AD" w:rsidRPr="00112B8C" w:rsidRDefault="00FE30AD" w:rsidP="00CA4EA9">
            <w:pPr>
              <w:ind w:left="175"/>
              <w:contextualSpacing/>
              <w:rPr>
                <w:b/>
              </w:rPr>
            </w:pPr>
            <w:r>
              <w:rPr>
                <w:b/>
              </w:rPr>
              <w:t xml:space="preserve">               4) Προέδρους Β.Κ και Ε.Ε.Κ (</w:t>
            </w:r>
            <w:r w:rsidRPr="00112B8C">
              <w:rPr>
                <w:b/>
              </w:rPr>
              <w:t xml:space="preserve">δια των </w:t>
            </w:r>
          </w:p>
          <w:p w:rsidR="00FE30AD" w:rsidRPr="00112B8C" w:rsidRDefault="00FE30AD" w:rsidP="00CA4EA9">
            <w:pPr>
              <w:ind w:left="175"/>
              <w:contextualSpacing/>
              <w:rPr>
                <w:b/>
              </w:rPr>
            </w:pPr>
            <w:r w:rsidRPr="00112B8C">
              <w:rPr>
                <w:b/>
              </w:rPr>
              <w:t xml:space="preserve">                   Δ/νσεων Δ.Ε )</w:t>
            </w:r>
            <w:r>
              <w:rPr>
                <w:b/>
              </w:rPr>
              <w:t xml:space="preserve"> </w:t>
            </w:r>
          </w:p>
          <w:p w:rsidR="00FE30AD" w:rsidRPr="00112B8C" w:rsidRDefault="00FE30AD" w:rsidP="00A5418B">
            <w:pPr>
              <w:ind w:left="175"/>
              <w:contextualSpacing/>
              <w:rPr>
                <w:b/>
              </w:rPr>
            </w:pPr>
            <w:r>
              <w:rPr>
                <w:b/>
              </w:rPr>
              <w:t xml:space="preserve">               5</w:t>
            </w:r>
            <w:r w:rsidRPr="00112B8C">
              <w:rPr>
                <w:b/>
              </w:rPr>
              <w:t>) ΚΕΣΥΠ  (δια των Δ/νσεων Δ.Ε )</w:t>
            </w:r>
          </w:p>
          <w:p w:rsidR="00FE30AD" w:rsidRPr="00874D6F" w:rsidRDefault="00FE30AD" w:rsidP="00A5418B">
            <w:pPr>
              <w:ind w:left="175"/>
              <w:contextualSpacing/>
            </w:pPr>
            <w:r>
              <w:t xml:space="preserve">           </w:t>
            </w:r>
          </w:p>
        </w:tc>
      </w:tr>
    </w:tbl>
    <w:p w:rsidR="00FE30AD" w:rsidRDefault="00FE30AD" w:rsidP="00123015">
      <w:pPr>
        <w:ind w:left="175"/>
        <w:contextualSpacing/>
      </w:pPr>
      <w:r>
        <w:rPr>
          <w:rFonts w:ascii="Arial" w:hAnsi="Arial" w:cs="Arial"/>
          <w:szCs w:val="24"/>
        </w:rPr>
        <w:t xml:space="preserve"> </w:t>
      </w:r>
      <w:r>
        <w:t xml:space="preserve">                                                                                        </w:t>
      </w:r>
    </w:p>
    <w:p w:rsidR="00FE30AD" w:rsidRDefault="00FE30AD" w:rsidP="00123015">
      <w:pPr>
        <w:pStyle w:val="Heading1"/>
        <w:rPr>
          <w:rFonts w:ascii="Arial" w:hAnsi="Arial" w:cs="Arial"/>
          <w:b/>
          <w:sz w:val="22"/>
          <w:szCs w:val="22"/>
        </w:rPr>
      </w:pPr>
    </w:p>
    <w:p w:rsidR="00FE30AD" w:rsidRDefault="00FE30AD" w:rsidP="00123015">
      <w:pPr>
        <w:jc w:val="both"/>
        <w:rPr>
          <w:rFonts w:ascii="Arial" w:hAnsi="Arial"/>
          <w:b/>
          <w:sz w:val="24"/>
        </w:rPr>
      </w:pPr>
      <w:r w:rsidRPr="001D29ED">
        <w:rPr>
          <w:rFonts w:ascii="Arial" w:hAnsi="Arial"/>
          <w:b/>
          <w:bCs/>
          <w:sz w:val="24"/>
        </w:rPr>
        <w:t>ΘΕΜΑ</w:t>
      </w:r>
      <w:r>
        <w:rPr>
          <w:rFonts w:ascii="Arial" w:hAnsi="Arial"/>
          <w:b/>
          <w:sz w:val="24"/>
        </w:rPr>
        <w:t>: «Εγκύκλιος σχετικά με τις επαναληπτικές πανελλαδικές εξετάσεις υποψηφίων</w:t>
      </w:r>
      <w:r w:rsidRPr="001D29ED">
        <w:rPr>
          <w:rFonts w:ascii="Arial" w:hAnsi="Arial"/>
          <w:b/>
          <w:sz w:val="24"/>
        </w:rPr>
        <w:t xml:space="preserve"> ΓΕ</w:t>
      </w:r>
      <w:r>
        <w:rPr>
          <w:rFonts w:ascii="Arial" w:hAnsi="Arial"/>
          <w:b/>
          <w:sz w:val="24"/>
        </w:rPr>
        <w:t>.Λ και ΕΠΑ.Λ έτους 2016 για</w:t>
      </w:r>
      <w:r w:rsidRPr="001D29ED">
        <w:rPr>
          <w:rFonts w:ascii="Arial" w:hAnsi="Arial"/>
          <w:b/>
          <w:sz w:val="24"/>
        </w:rPr>
        <w:t xml:space="preserve"> την εισαγωγή τους </w:t>
      </w:r>
      <w:r>
        <w:rPr>
          <w:rFonts w:ascii="Arial" w:hAnsi="Arial"/>
          <w:b/>
          <w:sz w:val="24"/>
        </w:rPr>
        <w:t>στην τριτοβάθμια εκπαίδευση»</w:t>
      </w:r>
    </w:p>
    <w:p w:rsidR="00FE30AD" w:rsidRPr="00A349EA" w:rsidRDefault="00FE30AD" w:rsidP="00123015">
      <w:pPr>
        <w:jc w:val="both"/>
      </w:pPr>
      <w:r w:rsidRPr="00B32549">
        <w:rPr>
          <w:rFonts w:ascii="Arial" w:hAnsi="Arial"/>
          <w:sz w:val="24"/>
        </w:rPr>
        <w:tab/>
        <w:t xml:space="preserve">         </w:t>
      </w:r>
      <w:r w:rsidRPr="00B32549">
        <w:rPr>
          <w:rFonts w:ascii="Arial" w:hAnsi="Arial"/>
          <w:sz w:val="24"/>
        </w:rPr>
        <w:tab/>
      </w:r>
      <w:r w:rsidRPr="00B32549">
        <w:rPr>
          <w:rFonts w:ascii="Arial" w:hAnsi="Arial"/>
          <w:sz w:val="24"/>
        </w:rPr>
        <w:tab/>
      </w:r>
    </w:p>
    <w:p w:rsidR="00FE30AD" w:rsidRDefault="00FE30AD" w:rsidP="00123015">
      <w:pPr>
        <w:jc w:val="both"/>
        <w:rPr>
          <w:rFonts w:ascii="Arial" w:hAnsi="Arial" w:cs="Arial"/>
          <w:sz w:val="24"/>
          <w:szCs w:val="24"/>
        </w:rPr>
      </w:pPr>
      <w:r>
        <w:rPr>
          <w:rFonts w:ascii="Arial" w:hAnsi="Arial" w:cs="Arial"/>
          <w:sz w:val="24"/>
          <w:szCs w:val="24"/>
        </w:rPr>
        <w:t xml:space="preserve">          Σε συνέχεια των</w:t>
      </w:r>
      <w:r w:rsidRPr="00EC0391">
        <w:rPr>
          <w:rFonts w:ascii="Arial" w:hAnsi="Arial" w:cs="Arial"/>
          <w:sz w:val="24"/>
          <w:szCs w:val="24"/>
        </w:rPr>
        <w:t xml:space="preserve"> Φ.251/77249/Α5/13-05-2016</w:t>
      </w:r>
      <w:r>
        <w:rPr>
          <w:rFonts w:ascii="Arial" w:hAnsi="Arial" w:cs="Arial"/>
          <w:sz w:val="24"/>
          <w:szCs w:val="24"/>
        </w:rPr>
        <w:t xml:space="preserve"> (για τα ΓΕ.Λ) και Φ.151/75375/Α5/               11-05-2016 (για τα ΕΠΑ.Λ) εγκυκλίων</w:t>
      </w:r>
      <w:r w:rsidRPr="00EC0391">
        <w:rPr>
          <w:rFonts w:ascii="Arial" w:hAnsi="Arial" w:cs="Arial"/>
          <w:sz w:val="24"/>
          <w:szCs w:val="24"/>
        </w:rPr>
        <w:t xml:space="preserve"> της Διεύθυνσής </w:t>
      </w:r>
      <w:r>
        <w:rPr>
          <w:rFonts w:ascii="Arial" w:hAnsi="Arial" w:cs="Arial"/>
          <w:sz w:val="24"/>
          <w:szCs w:val="24"/>
        </w:rPr>
        <w:t xml:space="preserve">μας σχετικές με τις επαναληπτικές πανελλαδικές εξετάσεις υποψηφίων ΓΕ.Λ και ΕΠΑ.Λ. έτους 2016 για την  εισαγωγή τους στην τριτοβάθμια εκπαίδευση, λόγω ερωτημάτων που τέθηκαν από Δ/νσεις Δ.Ε., σας διευκρινίζουμε τα εξής: </w:t>
      </w:r>
    </w:p>
    <w:p w:rsidR="00FE30AD" w:rsidRDefault="00FE30AD" w:rsidP="00123015">
      <w:pPr>
        <w:jc w:val="both"/>
        <w:rPr>
          <w:rFonts w:ascii="Arial" w:hAnsi="Arial" w:cs="Arial"/>
          <w:sz w:val="24"/>
          <w:szCs w:val="24"/>
        </w:rPr>
      </w:pPr>
    </w:p>
    <w:p w:rsidR="00FE30AD" w:rsidRDefault="00FE30AD" w:rsidP="00123015">
      <w:pPr>
        <w:jc w:val="both"/>
        <w:rPr>
          <w:rFonts w:ascii="Arial" w:hAnsi="Arial" w:cs="Arial"/>
          <w:sz w:val="24"/>
          <w:szCs w:val="24"/>
        </w:rPr>
      </w:pPr>
      <w:r>
        <w:rPr>
          <w:rFonts w:ascii="Arial" w:hAnsi="Arial" w:cs="Arial"/>
          <w:sz w:val="24"/>
          <w:szCs w:val="24"/>
        </w:rPr>
        <w:t xml:space="preserve"> α) Το διάστημα των τριών ημερών, </w:t>
      </w:r>
      <w:r w:rsidRPr="007920C7">
        <w:rPr>
          <w:rFonts w:ascii="Arial" w:hAnsi="Arial" w:cs="Arial"/>
          <w:sz w:val="24"/>
          <w:szCs w:val="24"/>
        </w:rPr>
        <w:t>στο οποίο πρέπει το αργότερο να κατατεθούν τα απαραίτητα δικαιολογητικά</w:t>
      </w:r>
      <w:r>
        <w:rPr>
          <w:rFonts w:ascii="Arial" w:hAnsi="Arial" w:cs="Arial"/>
          <w:sz w:val="24"/>
          <w:szCs w:val="24"/>
        </w:rPr>
        <w:t xml:space="preserve"> προκειμένου οι υποψήφιοι να συμμετάσχουν στις επαναληπτικές εξετάσεις, υπολογίζεται σε εργάσιμες ημέρες από την επομένη της ημέρας εξέτασης του μαθήματος από το οποίο απουσίασαν ή διέκοψαν την εξέτασή τους.</w:t>
      </w:r>
    </w:p>
    <w:p w:rsidR="00FE30AD" w:rsidRDefault="00FE30AD" w:rsidP="00123015">
      <w:pPr>
        <w:jc w:val="both"/>
        <w:rPr>
          <w:rFonts w:ascii="Arial" w:hAnsi="Arial" w:cs="Arial"/>
          <w:sz w:val="24"/>
          <w:szCs w:val="24"/>
        </w:rPr>
      </w:pPr>
    </w:p>
    <w:p w:rsidR="00FE30AD" w:rsidRDefault="00FE30AD" w:rsidP="00123015">
      <w:pPr>
        <w:jc w:val="both"/>
        <w:rPr>
          <w:rFonts w:ascii="Arial" w:hAnsi="Arial" w:cs="Arial"/>
          <w:sz w:val="24"/>
          <w:szCs w:val="24"/>
        </w:rPr>
      </w:pPr>
      <w:r>
        <w:rPr>
          <w:rFonts w:ascii="Arial" w:hAnsi="Arial" w:cs="Arial"/>
          <w:sz w:val="24"/>
          <w:szCs w:val="24"/>
        </w:rPr>
        <w:t xml:space="preserve">β)  Τα δικαιολογητικά και των δύο περιπτώσεων (ασθένεια ή σοβαρό κώλυμα που συνιστά ανωτέρα βία) προσκομίζονται στο Διευθυντή του σχολείου που λειτουργεί ως </w:t>
      </w:r>
      <w:r>
        <w:rPr>
          <w:rFonts w:ascii="Arial" w:hAnsi="Arial" w:cs="Arial"/>
          <w:b/>
          <w:sz w:val="24"/>
          <w:szCs w:val="24"/>
        </w:rPr>
        <w:t xml:space="preserve">Εξεταστικό </w:t>
      </w:r>
      <w:r w:rsidRPr="004A1E77">
        <w:rPr>
          <w:rFonts w:ascii="Arial" w:hAnsi="Arial" w:cs="Arial"/>
          <w:b/>
          <w:sz w:val="24"/>
          <w:szCs w:val="24"/>
        </w:rPr>
        <w:t>Κέντρο</w:t>
      </w:r>
      <w:r>
        <w:rPr>
          <w:rFonts w:ascii="Arial" w:hAnsi="Arial" w:cs="Arial"/>
          <w:sz w:val="24"/>
          <w:szCs w:val="24"/>
        </w:rPr>
        <w:t xml:space="preserve">. Τα δικαιολογητικά αυτά εξετάζονται και κρίνονται από την οικεία Λυκειακή Επιτροπή  (για τα ΓΕ.Λ) ή την επιτροπή εξέτασης (για τα ΕΠΑ.Λ.), με την επιφύλαξη της περίπτωσης του σοβαρού κωλύματος που συνιστά ανωτέρα βία όπου απαιτείται και επικύρωση από τον Διευθυντή </w:t>
      </w:r>
      <w:r w:rsidRPr="00123015">
        <w:rPr>
          <w:rFonts w:ascii="Arial" w:hAnsi="Arial" w:cs="Arial"/>
          <w:sz w:val="24"/>
          <w:szCs w:val="24"/>
        </w:rPr>
        <w:t>της οικείας</w:t>
      </w:r>
      <w:r>
        <w:rPr>
          <w:rFonts w:ascii="Arial" w:hAnsi="Arial" w:cs="Arial"/>
          <w:sz w:val="24"/>
          <w:szCs w:val="24"/>
        </w:rPr>
        <w:t xml:space="preserve"> Διεύθυνσης  Δ.Ε. Κατόπιν μέχρι συγκεκριμένη ημερομηνία, που θα οριστεί σε εγκύκλιο που θα ακολουθήσει, πρέπει  να αποσταλούν τα σχετικά στοιχεία στην οικεία Διεύθυνση Δ.Ε.</w:t>
      </w:r>
    </w:p>
    <w:p w:rsidR="00FE30AD" w:rsidRDefault="00FE30AD" w:rsidP="00123015">
      <w:pPr>
        <w:jc w:val="both"/>
        <w:rPr>
          <w:rFonts w:ascii="Arial" w:hAnsi="Arial" w:cs="Arial"/>
          <w:sz w:val="24"/>
          <w:szCs w:val="24"/>
        </w:rPr>
      </w:pPr>
      <w:r>
        <w:rPr>
          <w:rFonts w:ascii="Arial" w:hAnsi="Arial" w:cs="Arial"/>
          <w:sz w:val="24"/>
          <w:szCs w:val="24"/>
        </w:rPr>
        <w:t xml:space="preserve">     Στην περίπτωση που το σχολείο προέλευσης (σχολείο υποβολής της Αίτησης – Δήλωσης), δεν είναι Εξεταστικό Κέντρο, </w:t>
      </w:r>
      <w:r w:rsidRPr="002E3B2F">
        <w:rPr>
          <w:rFonts w:ascii="Arial" w:hAnsi="Arial" w:cs="Arial"/>
          <w:b/>
          <w:sz w:val="24"/>
          <w:szCs w:val="24"/>
        </w:rPr>
        <w:t xml:space="preserve">αυτό ενημερώνεται από το Εξεταστικό Κέντρο </w:t>
      </w:r>
      <w:r>
        <w:rPr>
          <w:rFonts w:ascii="Arial" w:hAnsi="Arial" w:cs="Arial"/>
          <w:sz w:val="24"/>
          <w:szCs w:val="24"/>
        </w:rPr>
        <w:t xml:space="preserve">για την απουσία των υποψηφίων του και το δικαίωμά τους να συμμετάσχουν στις επαναληπτικές πανελλαδικές εξετάσεις. </w:t>
      </w:r>
    </w:p>
    <w:p w:rsidR="00FE30AD" w:rsidRDefault="00FE30AD" w:rsidP="00123015">
      <w:pPr>
        <w:jc w:val="both"/>
        <w:rPr>
          <w:rFonts w:ascii="Arial" w:hAnsi="Arial" w:cs="Arial"/>
          <w:sz w:val="24"/>
          <w:szCs w:val="24"/>
        </w:rPr>
      </w:pPr>
    </w:p>
    <w:p w:rsidR="00FE30AD" w:rsidRDefault="00FE30AD" w:rsidP="00123015">
      <w:pPr>
        <w:jc w:val="both"/>
        <w:rPr>
          <w:rFonts w:ascii="Arial" w:hAnsi="Arial" w:cs="Arial"/>
          <w:sz w:val="24"/>
          <w:szCs w:val="24"/>
        </w:rPr>
      </w:pPr>
      <w:r>
        <w:rPr>
          <w:rFonts w:ascii="Arial" w:hAnsi="Arial" w:cs="Arial"/>
          <w:sz w:val="24"/>
          <w:szCs w:val="24"/>
        </w:rPr>
        <w:t xml:space="preserve">γ) Για τους υποψήφιους με αναπηρία και ειδικές εκπαιδευτικές ανάγκες που εξετάζονται προφορικά σε Β.Κ. ή Ε.Ε.Κ. και απουσιάσαν ή διέκοψαν την εξέτασή τους, τα απαιτούμενα δικαιολογητικά προσκομίζονται στον Πρόεδρο του Β.Κ. ή του Ε.Ε.Κ. από τον οποίο εξετάζονται και κρίνονται με την επιφύλαξη της περίπτωσης του σοβαρού κωλύματος που </w:t>
      </w:r>
      <w:r>
        <w:rPr>
          <w:rFonts w:ascii="Arial" w:hAnsi="Arial" w:cs="Arial"/>
          <w:sz w:val="24"/>
          <w:szCs w:val="24"/>
        </w:rPr>
        <w:lastRenderedPageBreak/>
        <w:t xml:space="preserve">συνιστά ανωτέρα βία όπου απαιτείται και επικύρωση από τον Διευθυντή </w:t>
      </w:r>
      <w:r w:rsidRPr="00123015">
        <w:rPr>
          <w:rFonts w:ascii="Arial" w:hAnsi="Arial" w:cs="Arial"/>
          <w:color w:val="000000"/>
          <w:sz w:val="24"/>
          <w:szCs w:val="24"/>
        </w:rPr>
        <w:t>της οικείας</w:t>
      </w:r>
      <w:r>
        <w:rPr>
          <w:rFonts w:ascii="Arial" w:hAnsi="Arial" w:cs="Arial"/>
          <w:sz w:val="24"/>
          <w:szCs w:val="24"/>
        </w:rPr>
        <w:t xml:space="preserve"> Διεύθυνσης Δ.Ε. Κατόπιν πρέπει να αποστείλουν τα σχετικά στοιχεία στην οικεία Διεύθυνση Δ.Ε.</w:t>
      </w:r>
      <w:r w:rsidRPr="00DF44F2">
        <w:rPr>
          <w:rFonts w:ascii="Arial" w:hAnsi="Arial" w:cs="Arial"/>
          <w:b/>
          <w:sz w:val="24"/>
          <w:szCs w:val="24"/>
        </w:rPr>
        <w:t xml:space="preserve"> </w:t>
      </w:r>
      <w:r w:rsidRPr="00DF44F2">
        <w:rPr>
          <w:rFonts w:ascii="Arial" w:hAnsi="Arial" w:cs="Arial"/>
          <w:sz w:val="24"/>
          <w:szCs w:val="24"/>
        </w:rPr>
        <w:t>και να ενημερ</w:t>
      </w:r>
      <w:r>
        <w:rPr>
          <w:rFonts w:ascii="Arial" w:hAnsi="Arial" w:cs="Arial"/>
          <w:sz w:val="24"/>
          <w:szCs w:val="24"/>
        </w:rPr>
        <w:t xml:space="preserve">ώσουν τα οικεία σχολεία </w:t>
      </w:r>
      <w:r>
        <w:rPr>
          <w:rFonts w:ascii="Arial" w:hAnsi="Arial" w:cs="Arial"/>
          <w:b/>
          <w:sz w:val="24"/>
          <w:szCs w:val="24"/>
        </w:rPr>
        <w:t xml:space="preserve"> </w:t>
      </w:r>
      <w:r>
        <w:rPr>
          <w:rFonts w:ascii="Arial" w:hAnsi="Arial" w:cs="Arial"/>
          <w:sz w:val="24"/>
          <w:szCs w:val="24"/>
        </w:rPr>
        <w:t>για την απουσία των υποψηφίων τους και το δικαίωμά τους να συμμετάσχουν στις επαναληπτικές πανελλαδικές εξετάσεις.</w:t>
      </w:r>
    </w:p>
    <w:p w:rsidR="00FE30AD" w:rsidRPr="00D60E43" w:rsidRDefault="00FE30AD" w:rsidP="0058186E">
      <w:pPr>
        <w:jc w:val="both"/>
        <w:rPr>
          <w:rFonts w:ascii="Arial" w:hAnsi="Arial" w:cs="Arial"/>
          <w:sz w:val="24"/>
          <w:szCs w:val="24"/>
        </w:rPr>
      </w:pPr>
      <w:r>
        <w:rPr>
          <w:rFonts w:ascii="Arial" w:hAnsi="Arial" w:cs="Arial"/>
          <w:sz w:val="24"/>
          <w:szCs w:val="24"/>
        </w:rPr>
        <w:t xml:space="preserve">     </w:t>
      </w:r>
    </w:p>
    <w:p w:rsidR="00FE30AD" w:rsidRDefault="00FE30AD" w:rsidP="00123015">
      <w:pPr>
        <w:jc w:val="both"/>
        <w:rPr>
          <w:rFonts w:ascii="Arial" w:hAnsi="Arial" w:cs="Arial"/>
          <w:sz w:val="24"/>
          <w:szCs w:val="24"/>
        </w:rPr>
      </w:pPr>
      <w:r>
        <w:rPr>
          <w:rFonts w:ascii="Arial" w:hAnsi="Arial" w:cs="Arial"/>
          <w:sz w:val="24"/>
          <w:szCs w:val="24"/>
        </w:rPr>
        <w:t xml:space="preserve">δ) Αν κάποιος υποψήφιος απουσιάσει σε περισσότερα από ένα  συνεχόμενα μαθήματα, μπορεί να προσκομίσει ένα δικαιολογητικό συνολικά για όλες τις απουσίες του. </w:t>
      </w:r>
    </w:p>
    <w:p w:rsidR="00FE30AD" w:rsidRDefault="00FE30AD" w:rsidP="00123015">
      <w:pPr>
        <w:jc w:val="both"/>
        <w:rPr>
          <w:rFonts w:ascii="Arial" w:hAnsi="Arial" w:cs="Arial"/>
          <w:sz w:val="24"/>
          <w:szCs w:val="24"/>
        </w:rPr>
      </w:pPr>
      <w:r>
        <w:rPr>
          <w:rFonts w:ascii="Arial" w:hAnsi="Arial" w:cs="Arial"/>
          <w:sz w:val="24"/>
          <w:szCs w:val="24"/>
        </w:rPr>
        <w:t xml:space="preserve">     Στην περίπτωση που ο  υποψήφιος μετά  τη διακοπή της εξέτασής του σε κάποιο μάθημα, απουσιάσει σε επόμενα συνεχόμενα μαθήματα, προκειμένου να συμμετάσχει στις επαναληπτικές πανελλαδικές εξετάσεις και στο μάθημα που διέκοψε την εξέτασή του (να μην αποσταλεί δηλαδή  από το Ε.Κ. το τετράδιό του για βαθμολόγηση) θα πρέπει  η κατάθεση του δικαιολογητικού να γίνει εντός των τριών (3) ημερών από την ημέρα εξέτασης του μαθήματος στο οποίο διέκοψε την εξέτασή του και από το οποίο μπορεί να προκύπτει η αδυναμία του να συμμετάσχει στην εξέταση τόσο του μαθήματος στο οποίο διέκοψε όσο και στα υπόλοιπα μαθήματα που απουσίασε.  </w:t>
      </w:r>
    </w:p>
    <w:p w:rsidR="00FE30AD" w:rsidRDefault="00FE30AD" w:rsidP="00123015">
      <w:pPr>
        <w:jc w:val="both"/>
        <w:rPr>
          <w:rFonts w:ascii="Arial" w:hAnsi="Arial" w:cs="Arial"/>
          <w:sz w:val="24"/>
          <w:szCs w:val="24"/>
        </w:rPr>
      </w:pPr>
      <w:r>
        <w:rPr>
          <w:rFonts w:ascii="Arial" w:hAnsi="Arial" w:cs="Arial"/>
          <w:sz w:val="24"/>
          <w:szCs w:val="24"/>
        </w:rPr>
        <w:t xml:space="preserve"> </w:t>
      </w:r>
    </w:p>
    <w:p w:rsidR="00FE30AD" w:rsidRDefault="00FE30AD" w:rsidP="009040ED">
      <w:pPr>
        <w:autoSpaceDE w:val="0"/>
        <w:autoSpaceDN w:val="0"/>
        <w:adjustRightInd w:val="0"/>
        <w:jc w:val="both"/>
        <w:rPr>
          <w:rFonts w:ascii="Arial" w:hAnsi="Arial" w:cs="Arial"/>
          <w:sz w:val="24"/>
          <w:szCs w:val="24"/>
        </w:rPr>
      </w:pPr>
      <w:r>
        <w:rPr>
          <w:rFonts w:ascii="Arial" w:hAnsi="Arial" w:cs="Arial"/>
          <w:sz w:val="24"/>
          <w:szCs w:val="24"/>
        </w:rPr>
        <w:t xml:space="preserve">ε) Σύμφωνα με τις διατάξεις των  αριθμ. 34293/03-04-2002 (ΦΕΚ 457τ.Β΄/2002) και </w:t>
      </w:r>
      <w:r w:rsidRPr="00F949A7">
        <w:rPr>
          <w:rFonts w:ascii="Arial" w:hAnsi="Arial"/>
          <w:sz w:val="22"/>
          <w:szCs w:val="22"/>
        </w:rPr>
        <w:t>Φ.253.2/62767/Α5/13-04-2016 (ΦΕΚ 1063 τΒ΄/2016)</w:t>
      </w:r>
      <w:r>
        <w:rPr>
          <w:rFonts w:ascii="Arial" w:hAnsi="Arial" w:cs="Arial"/>
          <w:sz w:val="24"/>
          <w:szCs w:val="24"/>
        </w:rPr>
        <w:t xml:space="preserve"> Υπουργικών Αποφάσεων, οι υποψήφιοι –αθλητές που θα απουσιάσουν σε ένα ή περισσότερα πανελλαδικά εξεταζόμενα μαθήματα λόγω αγωνιστικών υποχρεώσεων που αφορούν:</w:t>
      </w:r>
    </w:p>
    <w:p w:rsidR="00FE30AD" w:rsidRPr="002578E1" w:rsidRDefault="00FE30AD" w:rsidP="009040ED">
      <w:pPr>
        <w:autoSpaceDE w:val="0"/>
        <w:autoSpaceDN w:val="0"/>
        <w:adjustRightInd w:val="0"/>
        <w:jc w:val="both"/>
        <w:rPr>
          <w:rFonts w:ascii="Arial" w:hAnsi="Arial" w:cs="Arial"/>
          <w:sz w:val="24"/>
          <w:szCs w:val="24"/>
        </w:rPr>
      </w:pPr>
      <w:r>
        <w:rPr>
          <w:rFonts w:ascii="Arial" w:hAnsi="Arial" w:cs="Arial"/>
          <w:sz w:val="24"/>
          <w:szCs w:val="24"/>
        </w:rPr>
        <w:t xml:space="preserve">• Πανελλήνια πρωταθλήματα </w:t>
      </w:r>
    </w:p>
    <w:p w:rsidR="00FE30AD" w:rsidRDefault="00FE30AD" w:rsidP="00123015">
      <w:pPr>
        <w:rPr>
          <w:rFonts w:ascii="Arial" w:hAnsi="Arial" w:cs="Arial"/>
          <w:sz w:val="22"/>
          <w:szCs w:val="22"/>
        </w:rPr>
      </w:pPr>
      <w:r>
        <w:rPr>
          <w:rFonts w:ascii="Arial" w:hAnsi="Arial" w:cs="Arial"/>
          <w:sz w:val="24"/>
          <w:szCs w:val="24"/>
        </w:rPr>
        <w:t>• Διεθνείς διοργανώσεις ενταγμένες στο καλεντάρι της Διεθνούς ομοσπονδίας</w:t>
      </w:r>
    </w:p>
    <w:p w:rsidR="00FE30AD" w:rsidRDefault="00FE30AD" w:rsidP="00123015">
      <w:pPr>
        <w:pStyle w:val="Heading1"/>
        <w:rPr>
          <w:rFonts w:ascii="Arial" w:hAnsi="Arial" w:cs="Arial"/>
          <w:szCs w:val="24"/>
        </w:rPr>
      </w:pPr>
      <w:r>
        <w:rPr>
          <w:rFonts w:ascii="Arial" w:hAnsi="Arial" w:cs="Arial"/>
          <w:szCs w:val="24"/>
        </w:rPr>
        <w:t>• Βαλκανικούς αγώνες</w:t>
      </w:r>
    </w:p>
    <w:p w:rsidR="00FE30AD" w:rsidRPr="009040ED" w:rsidRDefault="00FE30AD" w:rsidP="009040ED">
      <w:r>
        <w:rPr>
          <w:rFonts w:ascii="Arial" w:hAnsi="Arial" w:cs="Arial"/>
          <w:sz w:val="24"/>
          <w:szCs w:val="24"/>
        </w:rPr>
        <w:t>• Πανευρωπαϊκούς αγώνες</w:t>
      </w:r>
    </w:p>
    <w:p w:rsidR="00FE30AD" w:rsidRDefault="00FE30AD" w:rsidP="00123015">
      <w:pPr>
        <w:pStyle w:val="Heading1"/>
        <w:rPr>
          <w:rFonts w:ascii="Arial" w:hAnsi="Arial" w:cs="Arial"/>
        </w:rPr>
      </w:pPr>
      <w:r>
        <w:rPr>
          <w:rFonts w:ascii="Arial" w:hAnsi="Arial" w:cs="Arial"/>
          <w:szCs w:val="24"/>
        </w:rPr>
        <w:t>•</w:t>
      </w:r>
      <w:r>
        <w:t xml:space="preserve"> </w:t>
      </w:r>
      <w:r w:rsidRPr="00581901">
        <w:rPr>
          <w:rFonts w:ascii="Arial" w:hAnsi="Arial" w:cs="Arial"/>
        </w:rPr>
        <w:t>Πα</w:t>
      </w:r>
      <w:r>
        <w:rPr>
          <w:rFonts w:ascii="Arial" w:hAnsi="Arial" w:cs="Arial"/>
        </w:rPr>
        <w:t>γκόσμιους αγώνες</w:t>
      </w:r>
    </w:p>
    <w:p w:rsidR="00FE30AD" w:rsidRPr="00581901" w:rsidRDefault="00FE30AD" w:rsidP="00123015">
      <w:pPr>
        <w:pStyle w:val="Heading1"/>
        <w:rPr>
          <w:rFonts w:ascii="Arial" w:hAnsi="Arial" w:cs="Arial"/>
        </w:rPr>
      </w:pPr>
      <w:r>
        <w:rPr>
          <w:rFonts w:ascii="Arial" w:hAnsi="Arial" w:cs="Arial"/>
          <w:szCs w:val="24"/>
        </w:rPr>
        <w:t>•</w:t>
      </w:r>
      <w:r>
        <w:t xml:space="preserve"> </w:t>
      </w:r>
      <w:r w:rsidRPr="00581901">
        <w:rPr>
          <w:rFonts w:ascii="Arial" w:hAnsi="Arial" w:cs="Arial"/>
        </w:rPr>
        <w:t xml:space="preserve">Προπονήσεις </w:t>
      </w:r>
      <w:r>
        <w:rPr>
          <w:rFonts w:ascii="Arial" w:hAnsi="Arial" w:cs="Arial"/>
        </w:rPr>
        <w:t xml:space="preserve">μόνο με την εθνική ομάδα του αντίστοιχου αθλήματος </w:t>
      </w:r>
      <w:r w:rsidRPr="00581901">
        <w:rPr>
          <w:rFonts w:ascii="Arial" w:hAnsi="Arial" w:cs="Arial"/>
        </w:rPr>
        <w:t xml:space="preserve">                                                                                        </w:t>
      </w:r>
    </w:p>
    <w:p w:rsidR="00FE30AD" w:rsidRDefault="00FE30AD" w:rsidP="000A29AE">
      <w:pPr>
        <w:pStyle w:val="Heading1"/>
        <w:ind w:left="284" w:hanging="284"/>
        <w:rPr>
          <w:rFonts w:ascii="Arial" w:hAnsi="Arial" w:cs="Arial"/>
          <w:szCs w:val="24"/>
        </w:rPr>
      </w:pPr>
      <w:r w:rsidRPr="00581901">
        <w:rPr>
          <w:rFonts w:ascii="Arial" w:hAnsi="Arial" w:cs="Arial"/>
          <w:szCs w:val="24"/>
        </w:rPr>
        <w:t>•</w:t>
      </w:r>
      <w:r>
        <w:rPr>
          <w:rFonts w:ascii="Arial" w:hAnsi="Arial" w:cs="Arial"/>
          <w:szCs w:val="24"/>
        </w:rPr>
        <w:t xml:space="preserve"> Προπονητικά κάμπινγκ μόνο με την εθνική ομάδα για συμμετοχή σε παγκόσμια-</w:t>
      </w:r>
      <w:r>
        <w:t xml:space="preserve">   </w:t>
      </w:r>
      <w:r>
        <w:rPr>
          <w:rFonts w:ascii="Arial" w:hAnsi="Arial" w:cs="Arial"/>
          <w:szCs w:val="24"/>
        </w:rPr>
        <w:t>πανευρωπαϊκά πρωταθλήματα</w:t>
      </w:r>
    </w:p>
    <w:p w:rsidR="00FE30AD" w:rsidRPr="000A29AE" w:rsidRDefault="00FE30AD" w:rsidP="00F64AF5">
      <w:pPr>
        <w:jc w:val="both"/>
        <w:rPr>
          <w:rFonts w:ascii="Arial" w:hAnsi="Arial" w:cs="Arial"/>
          <w:sz w:val="24"/>
          <w:szCs w:val="24"/>
        </w:rPr>
      </w:pPr>
      <w:r>
        <w:rPr>
          <w:rFonts w:ascii="Arial" w:hAnsi="Arial" w:cs="Arial"/>
          <w:sz w:val="24"/>
          <w:szCs w:val="24"/>
        </w:rPr>
        <w:t xml:space="preserve">μπορούν σε αυτά τα μαθήματα που απουσίασαν, να συμμετάσχουν στις επαναληπτικές εξετάσεις εφόσον προσκομίσουν  στο Διευθυντή </w:t>
      </w:r>
      <w:r w:rsidRPr="004A1E77">
        <w:rPr>
          <w:rFonts w:ascii="Arial" w:hAnsi="Arial" w:cs="Arial"/>
          <w:b/>
          <w:sz w:val="24"/>
          <w:szCs w:val="24"/>
        </w:rPr>
        <w:t>του Εξεταστικού Κέντρου</w:t>
      </w:r>
      <w:r>
        <w:rPr>
          <w:rFonts w:ascii="Arial" w:hAnsi="Arial" w:cs="Arial"/>
          <w:b/>
          <w:sz w:val="24"/>
          <w:szCs w:val="24"/>
        </w:rPr>
        <w:t xml:space="preserve">  </w:t>
      </w:r>
      <w:r>
        <w:rPr>
          <w:rFonts w:ascii="Arial" w:hAnsi="Arial" w:cs="Arial"/>
          <w:sz w:val="24"/>
          <w:szCs w:val="24"/>
        </w:rPr>
        <w:t>β</w:t>
      </w:r>
      <w:r w:rsidRPr="00F64AF5">
        <w:rPr>
          <w:rFonts w:ascii="Arial" w:hAnsi="Arial" w:cs="Arial"/>
          <w:sz w:val="24"/>
          <w:szCs w:val="24"/>
        </w:rPr>
        <w:t xml:space="preserve">εβαίωση </w:t>
      </w:r>
      <w:r>
        <w:rPr>
          <w:rFonts w:ascii="Arial" w:hAnsi="Arial" w:cs="Arial"/>
          <w:sz w:val="24"/>
          <w:szCs w:val="24"/>
        </w:rPr>
        <w:t xml:space="preserve"> από την οικεία ομοσπονδία του αθλήματος Θεωρημένη από τη Γενική Γραμματεία Αθλητισμού, για τη συμμετοχή του υποψήφιου στα αντίστοιχα πρωταθλήματα ή προπονητικά κάμπινγκ και προπονήσεις με την εθνική ομάδα, με πιστοποίηση ημερομηνίας.</w:t>
      </w:r>
      <w:r w:rsidRPr="00F64AF5">
        <w:rPr>
          <w:rFonts w:ascii="Arial" w:hAnsi="Arial" w:cs="Arial"/>
          <w:sz w:val="24"/>
          <w:szCs w:val="24"/>
        </w:rPr>
        <w:t xml:space="preserve"> </w:t>
      </w:r>
    </w:p>
    <w:p w:rsidR="00FE30AD" w:rsidRPr="000A29AE" w:rsidRDefault="00FE30AD" w:rsidP="000A29AE">
      <w:pPr>
        <w:pStyle w:val="Heading1"/>
        <w:ind w:left="284" w:hanging="284"/>
        <w:rPr>
          <w:rFonts w:ascii="Arial" w:hAnsi="Arial" w:cs="Arial"/>
          <w:szCs w:val="24"/>
        </w:rPr>
      </w:pPr>
      <w:r w:rsidRPr="000A29AE">
        <w:rPr>
          <w:rFonts w:ascii="Arial" w:hAnsi="Arial" w:cs="Arial"/>
          <w:szCs w:val="24"/>
        </w:rPr>
        <w:t xml:space="preserve">                  </w:t>
      </w:r>
    </w:p>
    <w:p w:rsidR="00FE30AD" w:rsidRPr="000A29AE" w:rsidRDefault="00FE30AD" w:rsidP="00123015">
      <w:pPr>
        <w:pStyle w:val="Heading1"/>
        <w:rPr>
          <w:rFonts w:ascii="Arial" w:hAnsi="Arial" w:cs="Arial"/>
          <w:szCs w:val="24"/>
        </w:rPr>
      </w:pPr>
    </w:p>
    <w:p w:rsidR="00FE30AD" w:rsidRPr="000A29AE" w:rsidRDefault="00FE30AD" w:rsidP="00123015">
      <w:pPr>
        <w:pStyle w:val="Heading1"/>
        <w:rPr>
          <w:rFonts w:ascii="Arial" w:hAnsi="Arial" w:cs="Arial"/>
          <w:szCs w:val="24"/>
        </w:rPr>
      </w:pPr>
    </w:p>
    <w:p w:rsidR="00FE30AD" w:rsidRPr="000A29AE" w:rsidRDefault="00FE30AD" w:rsidP="00123015">
      <w:pPr>
        <w:pStyle w:val="Heading1"/>
        <w:rPr>
          <w:rFonts w:ascii="Arial" w:hAnsi="Arial" w:cs="Arial"/>
          <w:szCs w:val="24"/>
        </w:rPr>
      </w:pPr>
    </w:p>
    <w:p w:rsidR="00FE30AD" w:rsidRPr="000A29AE" w:rsidRDefault="00FE30AD" w:rsidP="00581901">
      <w:pPr>
        <w:rPr>
          <w:rFonts w:ascii="Arial" w:hAnsi="Arial" w:cs="Arial"/>
          <w:sz w:val="24"/>
          <w:szCs w:val="24"/>
        </w:rPr>
      </w:pPr>
    </w:p>
    <w:p w:rsidR="00FE30AD" w:rsidRPr="000A29AE" w:rsidRDefault="00FE30AD" w:rsidP="00581901">
      <w:pPr>
        <w:rPr>
          <w:rFonts w:ascii="Arial" w:hAnsi="Arial" w:cs="Arial"/>
          <w:sz w:val="24"/>
          <w:szCs w:val="24"/>
        </w:rPr>
      </w:pPr>
    </w:p>
    <w:p w:rsidR="00FE30AD" w:rsidRPr="00B10D67" w:rsidRDefault="00FE30AD" w:rsidP="00123015">
      <w:pPr>
        <w:pStyle w:val="Heading1"/>
        <w:rPr>
          <w:rFonts w:ascii="Arial" w:hAnsi="Arial" w:cs="Arial"/>
          <w:b/>
          <w:sz w:val="22"/>
          <w:szCs w:val="22"/>
        </w:rPr>
      </w:pPr>
      <w:r>
        <w:t xml:space="preserve">                                                                                            </w:t>
      </w:r>
      <w:r>
        <w:rPr>
          <w:rFonts w:ascii="Arial" w:hAnsi="Arial" w:cs="Arial"/>
          <w:b/>
          <w:sz w:val="22"/>
          <w:szCs w:val="22"/>
        </w:rPr>
        <w:t>Ο ΓΕΝΙΚΟΣ ΓΡΑΜΜΑΤΕΑΣ</w:t>
      </w:r>
    </w:p>
    <w:p w:rsidR="00FE30AD" w:rsidRDefault="00FE30AD" w:rsidP="00123015">
      <w:pPr>
        <w:tabs>
          <w:tab w:val="center" w:pos="7371"/>
        </w:tabs>
        <w:rPr>
          <w:b/>
          <w:sz w:val="22"/>
          <w:szCs w:val="22"/>
        </w:rPr>
      </w:pPr>
      <w:r w:rsidRPr="00B10D67">
        <w:rPr>
          <w:b/>
          <w:sz w:val="22"/>
          <w:szCs w:val="22"/>
        </w:rPr>
        <w:t xml:space="preserve">                                                                                                         </w:t>
      </w:r>
      <w:r>
        <w:rPr>
          <w:b/>
          <w:sz w:val="22"/>
          <w:szCs w:val="22"/>
        </w:rPr>
        <w:t xml:space="preserve"> </w:t>
      </w:r>
    </w:p>
    <w:p w:rsidR="00FE30AD" w:rsidRDefault="00FE30AD" w:rsidP="00123015">
      <w:pPr>
        <w:tabs>
          <w:tab w:val="center" w:pos="7371"/>
        </w:tabs>
        <w:rPr>
          <w:b/>
          <w:sz w:val="22"/>
          <w:szCs w:val="22"/>
        </w:rPr>
      </w:pPr>
      <w:r>
        <w:rPr>
          <w:b/>
          <w:sz w:val="22"/>
          <w:szCs w:val="22"/>
        </w:rPr>
        <w:t xml:space="preserve">                                                                                                                    </w:t>
      </w:r>
    </w:p>
    <w:p w:rsidR="00FE30AD" w:rsidRDefault="00FE30AD" w:rsidP="00123015">
      <w:pPr>
        <w:tabs>
          <w:tab w:val="center" w:pos="7371"/>
        </w:tabs>
        <w:rPr>
          <w:b/>
          <w:sz w:val="22"/>
          <w:szCs w:val="22"/>
        </w:rPr>
      </w:pPr>
    </w:p>
    <w:p w:rsidR="00FE30AD" w:rsidRPr="00B10D67" w:rsidRDefault="00FE30AD" w:rsidP="00123015">
      <w:pPr>
        <w:tabs>
          <w:tab w:val="center" w:pos="7371"/>
        </w:tabs>
        <w:rPr>
          <w:rFonts w:ascii="Arial" w:hAnsi="Arial" w:cs="Arial"/>
          <w:b/>
          <w:sz w:val="22"/>
          <w:szCs w:val="22"/>
          <w:u w:val="single"/>
        </w:rPr>
      </w:pPr>
      <w:r>
        <w:rPr>
          <w:b/>
          <w:sz w:val="22"/>
          <w:szCs w:val="22"/>
        </w:rPr>
        <w:t xml:space="preserve">                                                                                                         </w:t>
      </w:r>
      <w:r>
        <w:rPr>
          <w:rFonts w:ascii="Arial" w:hAnsi="Arial" w:cs="Arial"/>
          <w:b/>
          <w:sz w:val="22"/>
          <w:szCs w:val="22"/>
        </w:rPr>
        <w:t>ΙΩΑΝΝΗΣ Δ. ΠΑΝΤΗΣ</w:t>
      </w:r>
    </w:p>
    <w:p w:rsidR="00FE30AD" w:rsidRDefault="00FE30AD" w:rsidP="00123015">
      <w:pPr>
        <w:tabs>
          <w:tab w:val="center" w:pos="7371"/>
        </w:tabs>
        <w:rPr>
          <w:rFonts w:ascii="Arial" w:hAnsi="Arial" w:cs="Arial"/>
          <w:b/>
          <w:sz w:val="24"/>
          <w:u w:val="single"/>
        </w:rPr>
      </w:pPr>
    </w:p>
    <w:p w:rsidR="00FE30AD" w:rsidRDefault="00FE30AD" w:rsidP="00123015">
      <w:pPr>
        <w:tabs>
          <w:tab w:val="center" w:pos="7371"/>
        </w:tabs>
        <w:rPr>
          <w:rFonts w:ascii="Arial" w:hAnsi="Arial" w:cs="Arial"/>
          <w:b/>
          <w:sz w:val="22"/>
          <w:szCs w:val="22"/>
          <w:u w:val="single"/>
        </w:rPr>
      </w:pPr>
    </w:p>
    <w:p w:rsidR="00FE30AD" w:rsidRDefault="00FE30AD" w:rsidP="00123015">
      <w:pPr>
        <w:tabs>
          <w:tab w:val="center" w:pos="7371"/>
        </w:tabs>
        <w:rPr>
          <w:rFonts w:ascii="Arial" w:hAnsi="Arial" w:cs="Arial"/>
          <w:b/>
          <w:u w:val="single"/>
        </w:rPr>
      </w:pPr>
    </w:p>
    <w:p w:rsidR="00FE30AD" w:rsidRDefault="00FE30AD" w:rsidP="00123015">
      <w:pPr>
        <w:tabs>
          <w:tab w:val="center" w:pos="7371"/>
        </w:tabs>
        <w:rPr>
          <w:rFonts w:ascii="Arial" w:hAnsi="Arial" w:cs="Arial"/>
          <w:b/>
          <w:u w:val="single"/>
        </w:rPr>
      </w:pPr>
    </w:p>
    <w:p w:rsidR="00FE30AD" w:rsidRDefault="00FE30AD" w:rsidP="00123015">
      <w:pPr>
        <w:tabs>
          <w:tab w:val="center" w:pos="7371"/>
        </w:tabs>
        <w:rPr>
          <w:rFonts w:ascii="Arial" w:hAnsi="Arial" w:cs="Arial"/>
          <w:b/>
          <w:u w:val="single"/>
        </w:rPr>
      </w:pPr>
      <w:r w:rsidRPr="00F362D7">
        <w:rPr>
          <w:rFonts w:ascii="Arial" w:hAnsi="Arial" w:cs="Arial"/>
          <w:b/>
          <w:u w:val="single"/>
        </w:rPr>
        <w:t>Εσωτερική Διανομή:</w:t>
      </w:r>
    </w:p>
    <w:p w:rsidR="00FE30AD" w:rsidRDefault="00FE30AD" w:rsidP="00123015">
      <w:pPr>
        <w:tabs>
          <w:tab w:val="center" w:pos="7371"/>
        </w:tabs>
        <w:rPr>
          <w:rFonts w:ascii="Arial" w:hAnsi="Arial" w:cs="Arial"/>
          <w:b/>
        </w:rPr>
      </w:pPr>
      <w:r>
        <w:rPr>
          <w:rFonts w:ascii="Arial" w:hAnsi="Arial" w:cs="Arial"/>
          <w:b/>
        </w:rPr>
        <w:t xml:space="preserve">1)   </w:t>
      </w:r>
      <w:r w:rsidRPr="00B460B1">
        <w:rPr>
          <w:rFonts w:ascii="Arial" w:hAnsi="Arial" w:cs="Arial"/>
        </w:rPr>
        <w:t>Γραφείο Γενικού Γραμματέα</w:t>
      </w:r>
    </w:p>
    <w:p w:rsidR="00FE30AD" w:rsidRPr="00673AE0" w:rsidRDefault="00FE30AD" w:rsidP="00123015">
      <w:pPr>
        <w:tabs>
          <w:tab w:val="center" w:pos="7371"/>
        </w:tabs>
        <w:rPr>
          <w:rFonts w:ascii="Arial" w:hAnsi="Arial" w:cs="Arial"/>
          <w:b/>
        </w:rPr>
      </w:pPr>
      <w:r>
        <w:rPr>
          <w:rFonts w:ascii="Arial" w:hAnsi="Arial" w:cs="Arial"/>
          <w:b/>
        </w:rPr>
        <w:t>2</w:t>
      </w:r>
      <w:r w:rsidRPr="00673AE0">
        <w:rPr>
          <w:rFonts w:ascii="Arial" w:hAnsi="Arial" w:cs="Arial"/>
          <w:b/>
        </w:rPr>
        <w:t>)</w:t>
      </w:r>
      <w:r>
        <w:rPr>
          <w:rFonts w:ascii="Arial" w:hAnsi="Arial" w:cs="Arial"/>
          <w:b/>
        </w:rPr>
        <w:t xml:space="preserve">   </w:t>
      </w:r>
      <w:r w:rsidRPr="00673AE0">
        <w:rPr>
          <w:rFonts w:ascii="Arial" w:hAnsi="Arial" w:cs="Arial"/>
        </w:rPr>
        <w:t>Γενική</w:t>
      </w:r>
      <w:r>
        <w:rPr>
          <w:rFonts w:ascii="Arial" w:hAnsi="Arial" w:cs="Arial"/>
          <w:b/>
        </w:rPr>
        <w:t xml:space="preserve"> </w:t>
      </w:r>
      <w:r w:rsidRPr="00673AE0">
        <w:rPr>
          <w:rFonts w:ascii="Arial" w:hAnsi="Arial" w:cs="Arial"/>
        </w:rPr>
        <w:t xml:space="preserve">Δ/νση Στρατ. Σχεδιασμού, Προγραμματισμού &amp; Ηλεκτρ. Διακυβέρνησης </w:t>
      </w:r>
    </w:p>
    <w:p w:rsidR="00FE30AD" w:rsidRPr="00767BA7" w:rsidRDefault="00FE30AD" w:rsidP="00123015">
      <w:pPr>
        <w:tabs>
          <w:tab w:val="center" w:pos="7371"/>
        </w:tabs>
        <w:rPr>
          <w:sz w:val="22"/>
          <w:szCs w:val="22"/>
        </w:rPr>
      </w:pPr>
      <w:r>
        <w:rPr>
          <w:rFonts w:ascii="Arial" w:hAnsi="Arial" w:cs="Arial"/>
          <w:b/>
          <w:sz w:val="22"/>
          <w:szCs w:val="22"/>
        </w:rPr>
        <w:t>3)</w:t>
      </w:r>
      <w:r w:rsidRPr="00767BA7">
        <w:rPr>
          <w:rFonts w:ascii="Arial" w:hAnsi="Arial" w:cs="Arial"/>
          <w:sz w:val="22"/>
          <w:szCs w:val="22"/>
        </w:rPr>
        <w:t xml:space="preserve">  Διεύθυνση </w:t>
      </w:r>
      <w:r>
        <w:rPr>
          <w:rFonts w:ascii="Arial" w:hAnsi="Arial" w:cs="Arial"/>
          <w:sz w:val="22"/>
          <w:szCs w:val="22"/>
        </w:rPr>
        <w:t>Εξετάσεων και πιστοποιήσεων (Τμήμα Α΄).</w:t>
      </w:r>
    </w:p>
    <w:p w:rsidR="00FE30AD" w:rsidRDefault="00FE30AD" w:rsidP="00123015">
      <w:pPr>
        <w:tabs>
          <w:tab w:val="center" w:pos="7371"/>
        </w:tabs>
        <w:rPr>
          <w:rFonts w:ascii="Arial" w:hAnsi="Arial" w:cs="Arial"/>
          <w:b/>
          <w:sz w:val="22"/>
          <w:szCs w:val="22"/>
          <w:u w:val="single"/>
        </w:rPr>
      </w:pPr>
    </w:p>
    <w:p w:rsidR="00FE30AD" w:rsidRDefault="00FE30AD" w:rsidP="00123015"/>
    <w:sectPr w:rsidR="00FE30AD" w:rsidSect="00CA4EA9">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23015"/>
    <w:rsid w:val="00062A40"/>
    <w:rsid w:val="000A29AE"/>
    <w:rsid w:val="000B5F78"/>
    <w:rsid w:val="00112B8C"/>
    <w:rsid w:val="00123015"/>
    <w:rsid w:val="001B7B8B"/>
    <w:rsid w:val="001D29ED"/>
    <w:rsid w:val="001F560B"/>
    <w:rsid w:val="00220AFC"/>
    <w:rsid w:val="0022501D"/>
    <w:rsid w:val="00230AB0"/>
    <w:rsid w:val="002578E1"/>
    <w:rsid w:val="0029538D"/>
    <w:rsid w:val="002E3B2F"/>
    <w:rsid w:val="003475EA"/>
    <w:rsid w:val="00350D99"/>
    <w:rsid w:val="003B56CC"/>
    <w:rsid w:val="003C59B7"/>
    <w:rsid w:val="003D3037"/>
    <w:rsid w:val="00411CAC"/>
    <w:rsid w:val="004A1E77"/>
    <w:rsid w:val="004F76D7"/>
    <w:rsid w:val="00502ADF"/>
    <w:rsid w:val="005149E5"/>
    <w:rsid w:val="00532FBB"/>
    <w:rsid w:val="00571E0C"/>
    <w:rsid w:val="0058186E"/>
    <w:rsid w:val="00581901"/>
    <w:rsid w:val="005963F3"/>
    <w:rsid w:val="0061108A"/>
    <w:rsid w:val="00666698"/>
    <w:rsid w:val="00673AE0"/>
    <w:rsid w:val="00717DA4"/>
    <w:rsid w:val="00767BA7"/>
    <w:rsid w:val="007920C7"/>
    <w:rsid w:val="00874D6F"/>
    <w:rsid w:val="009040ED"/>
    <w:rsid w:val="0098679F"/>
    <w:rsid w:val="00A349EA"/>
    <w:rsid w:val="00A5418B"/>
    <w:rsid w:val="00A834EC"/>
    <w:rsid w:val="00A84D47"/>
    <w:rsid w:val="00AE6CBF"/>
    <w:rsid w:val="00B10D67"/>
    <w:rsid w:val="00B32549"/>
    <w:rsid w:val="00B460B1"/>
    <w:rsid w:val="00BC4521"/>
    <w:rsid w:val="00C4468F"/>
    <w:rsid w:val="00CA4EA9"/>
    <w:rsid w:val="00D10273"/>
    <w:rsid w:val="00D233B9"/>
    <w:rsid w:val="00D2403D"/>
    <w:rsid w:val="00D60E43"/>
    <w:rsid w:val="00DB49BE"/>
    <w:rsid w:val="00DF2E43"/>
    <w:rsid w:val="00DF44F2"/>
    <w:rsid w:val="00EC0391"/>
    <w:rsid w:val="00F362D7"/>
    <w:rsid w:val="00F64AF5"/>
    <w:rsid w:val="00F949A7"/>
    <w:rsid w:val="00FE30A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015"/>
    <w:rPr>
      <w:rFonts w:ascii="Times New Roman" w:eastAsia="Times New Roman" w:hAnsi="Times New Roman"/>
      <w:sz w:val="20"/>
      <w:szCs w:val="20"/>
      <w:lang w:eastAsia="en-US"/>
    </w:rPr>
  </w:style>
  <w:style w:type="paragraph" w:styleId="Heading1">
    <w:name w:val="heading 1"/>
    <w:basedOn w:val="Normal"/>
    <w:next w:val="Normal"/>
    <w:link w:val="Heading1Char"/>
    <w:uiPriority w:val="99"/>
    <w:qFormat/>
    <w:rsid w:val="00123015"/>
    <w:pPr>
      <w:keepNext/>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3015"/>
    <w:rPr>
      <w:rFonts w:ascii="Times New Roman" w:hAnsi="Times New Roman" w:cs="Times New Roman"/>
      <w:sz w:val="20"/>
      <w:szCs w:val="20"/>
    </w:rPr>
  </w:style>
  <w:style w:type="paragraph" w:styleId="BalloonText">
    <w:name w:val="Balloon Text"/>
    <w:basedOn w:val="Normal"/>
    <w:link w:val="BalloonTextChar"/>
    <w:uiPriority w:val="99"/>
    <w:semiHidden/>
    <w:rsid w:val="001230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30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nedu.gov.g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949</Words>
  <Characters>5128</Characters>
  <Application>Microsoft Office Word</Application>
  <DocSecurity>0</DocSecurity>
  <Lines>42</Lines>
  <Paragraphs>12</Paragraphs>
  <ScaleCrop>false</ScaleCrop>
  <Company>Ministry of Education</Company>
  <LinksUpToDate>false</LinksUpToDate>
  <CharactersWithSpaces>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cp:lastModifiedBy>Ηλίας</cp:lastModifiedBy>
  <cp:revision>2</cp:revision>
  <cp:lastPrinted>2016-05-23T09:28:00Z</cp:lastPrinted>
  <dcterms:created xsi:type="dcterms:W3CDTF">2016-05-25T16:39:00Z</dcterms:created>
  <dcterms:modified xsi:type="dcterms:W3CDTF">2016-05-25T16:39:00Z</dcterms:modified>
</cp:coreProperties>
</file>