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AB" w:rsidRPr="00925EAB" w:rsidRDefault="00925EAB" w:rsidP="00925EAB">
      <w:pPr>
        <w:spacing w:afterLines="60" w:after="144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925EAB">
        <w:rPr>
          <w:rFonts w:ascii="Calibri" w:hAnsi="Calibri" w:cs="Calibri"/>
          <w:sz w:val="22"/>
          <w:szCs w:val="22"/>
        </w:rPr>
        <w:t xml:space="preserve">Η ολοένα αυξανόμενη χρήση των ιδιωτικών μέσων μετακίνησης και η αστικοποίηση των πόλεων έχουν αρχίσει να δημιουργούν σημαντικές επιπτώσεις στην ποιότητα ζωής στα αστικά κέντρα. Η κυκλοφοριακή συμφόρηση, η ρύπανση, η έλλειψη χώρων στάθμευσης και η δυσκολία προσβασιμότητας είναι κάποια από τα προβλήματα που χρονίζουν και μεγεθύνονται </w:t>
      </w:r>
      <w:r>
        <w:rPr>
          <w:rFonts w:ascii="Calibri" w:hAnsi="Calibri" w:cs="Calibri"/>
          <w:sz w:val="22"/>
          <w:szCs w:val="22"/>
        </w:rPr>
        <w:t>στις πόλεις</w:t>
      </w:r>
      <w:r w:rsidRPr="00925EAB">
        <w:rPr>
          <w:rFonts w:ascii="Calibri" w:hAnsi="Calibri" w:cs="Calibri"/>
          <w:sz w:val="22"/>
          <w:szCs w:val="22"/>
        </w:rPr>
        <w:t>.</w:t>
      </w:r>
    </w:p>
    <w:p w:rsidR="00925EAB" w:rsidRPr="00925EAB" w:rsidRDefault="00925EAB" w:rsidP="00925EAB">
      <w:pPr>
        <w:spacing w:afterLines="60" w:after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Η θεώρηση της </w:t>
      </w:r>
      <w:r w:rsidRPr="00925EAB">
        <w:rPr>
          <w:rFonts w:ascii="Calibri" w:hAnsi="Calibri" w:cs="Calibri"/>
          <w:sz w:val="22"/>
          <w:szCs w:val="22"/>
        </w:rPr>
        <w:t xml:space="preserve">βιώσιμης αστικής κινητικότητας </w:t>
      </w:r>
      <w:r>
        <w:rPr>
          <w:rFonts w:ascii="Calibri" w:hAnsi="Calibri" w:cs="Calibri"/>
          <w:sz w:val="22"/>
          <w:szCs w:val="22"/>
        </w:rPr>
        <w:t xml:space="preserve">στοχεύει </w:t>
      </w:r>
      <w:r w:rsidRPr="00925EAB">
        <w:rPr>
          <w:rFonts w:ascii="Calibri" w:hAnsi="Calibri" w:cs="Calibri"/>
          <w:sz w:val="22"/>
          <w:szCs w:val="22"/>
        </w:rPr>
        <w:t>οι πόλεις να αναπτύσσονται με τρόπο ώστε να μην επιβαρύνεται η ποιότητα ζωής κατοίκων και επισκεπτών, αντιθέτως, να δημιουργείται ένα συγκοινωνιακό περιβάλλον περισσότερο φιλικό για όλους.</w:t>
      </w:r>
    </w:p>
    <w:p w:rsidR="00925EAB" w:rsidRPr="00925EAB" w:rsidRDefault="00925EAB" w:rsidP="00925EAB">
      <w:pPr>
        <w:spacing w:afterLines="60" w:after="144"/>
        <w:rPr>
          <w:rFonts w:ascii="Calibri" w:hAnsi="Calibri" w:cs="Calibri"/>
          <w:sz w:val="22"/>
          <w:szCs w:val="22"/>
        </w:rPr>
      </w:pPr>
      <w:r w:rsidRPr="00925EAB">
        <w:rPr>
          <w:rFonts w:ascii="Calibri" w:hAnsi="Calibri" w:cs="Calibri"/>
          <w:sz w:val="22"/>
          <w:szCs w:val="22"/>
        </w:rPr>
        <w:t xml:space="preserve">Το </w:t>
      </w:r>
      <w:r w:rsidR="006D2FCB" w:rsidRPr="00925EAB">
        <w:rPr>
          <w:rFonts w:ascii="Calibri" w:hAnsi="Calibri" w:cs="Calibri"/>
          <w:sz w:val="22"/>
          <w:szCs w:val="22"/>
        </w:rPr>
        <w:t>Σχέδιο</w:t>
      </w:r>
      <w:r w:rsidRPr="00925EAB">
        <w:rPr>
          <w:rFonts w:ascii="Calibri" w:hAnsi="Calibri" w:cs="Calibri"/>
          <w:sz w:val="22"/>
          <w:szCs w:val="22"/>
        </w:rPr>
        <w:t xml:space="preserve"> Βιώσιμης Αστικής Κινητικότητας (ΣΒΑΚ) είναι ένα ολοκληρωμένο στρατηγικό σχέδιο συγκοινωνιών </w:t>
      </w:r>
      <w:r>
        <w:rPr>
          <w:rFonts w:ascii="Calibri" w:hAnsi="Calibri" w:cs="Calibri"/>
          <w:sz w:val="22"/>
          <w:szCs w:val="22"/>
        </w:rPr>
        <w:t>ενός Δήμου</w:t>
      </w:r>
      <w:r w:rsidRPr="00925EAB">
        <w:rPr>
          <w:rFonts w:ascii="Calibri" w:hAnsi="Calibri" w:cs="Calibri"/>
          <w:sz w:val="22"/>
          <w:szCs w:val="22"/>
        </w:rPr>
        <w:t>,  το οποίο έχει στόχο την οργάνωση της κινητικότητας ανθρώπων και επιχειρήσεων με απώτερο σκοπό τη βελτίωση της ποιότητας ζωής. Στο πλαίσιο αυτό ένα ΣΒΑΚ στοχεύει στην:</w:t>
      </w:r>
    </w:p>
    <w:p w:rsidR="00925EAB" w:rsidRPr="00925EAB" w:rsidRDefault="00925EAB" w:rsidP="00925EAB">
      <w:pPr>
        <w:pStyle w:val="a"/>
        <w:spacing w:afterLines="60" w:after="144"/>
        <w:ind w:left="284"/>
        <w:rPr>
          <w:rFonts w:ascii="Calibri" w:hAnsi="Calibri" w:cs="Calibri"/>
          <w:sz w:val="22"/>
          <w:szCs w:val="22"/>
        </w:rPr>
      </w:pPr>
      <w:r w:rsidRPr="00925EAB">
        <w:rPr>
          <w:rFonts w:ascii="Calibri" w:hAnsi="Calibri" w:cs="Calibri"/>
          <w:sz w:val="22"/>
          <w:szCs w:val="22"/>
        </w:rPr>
        <w:t>Οικονομική αποδοτικότητα και τη βελτίωση της σχέσης κόστους - οφέλους των προτάσεων</w:t>
      </w:r>
    </w:p>
    <w:p w:rsidR="00925EAB" w:rsidRPr="00925EAB" w:rsidRDefault="00925EAB" w:rsidP="00925EAB">
      <w:pPr>
        <w:pStyle w:val="a"/>
        <w:spacing w:afterLines="60" w:after="144"/>
        <w:ind w:left="284"/>
        <w:rPr>
          <w:rFonts w:ascii="Calibri" w:hAnsi="Calibri" w:cs="Calibri"/>
          <w:sz w:val="22"/>
          <w:szCs w:val="22"/>
        </w:rPr>
      </w:pPr>
      <w:r w:rsidRPr="00925EAB">
        <w:rPr>
          <w:rFonts w:ascii="Calibri" w:hAnsi="Calibri" w:cs="Calibri"/>
          <w:sz w:val="22"/>
          <w:szCs w:val="22"/>
        </w:rPr>
        <w:t>Περιβαλλοντική βιωσιμότητα με τη μείωση εκπομπών και ρύπων από τις μεταφορές</w:t>
      </w:r>
    </w:p>
    <w:p w:rsidR="00925EAB" w:rsidRPr="00925EAB" w:rsidRDefault="00925EAB" w:rsidP="00925EAB">
      <w:pPr>
        <w:pStyle w:val="a"/>
        <w:spacing w:afterLines="60" w:after="144"/>
        <w:ind w:left="284"/>
        <w:rPr>
          <w:rFonts w:ascii="Calibri" w:hAnsi="Calibri" w:cs="Calibri"/>
          <w:sz w:val="22"/>
          <w:szCs w:val="22"/>
        </w:rPr>
      </w:pPr>
      <w:r w:rsidRPr="00925EAB">
        <w:rPr>
          <w:rFonts w:ascii="Calibri" w:hAnsi="Calibri" w:cs="Calibri"/>
          <w:sz w:val="22"/>
          <w:szCs w:val="22"/>
        </w:rPr>
        <w:t xml:space="preserve">Προσβασιμότητα και κοινωνική ένταξη με την εξασφάλιση ίσων επιλογών μετακίνησης προς όλους τους πολίτες. </w:t>
      </w:r>
    </w:p>
    <w:p w:rsidR="00925EAB" w:rsidRPr="00925EAB" w:rsidRDefault="00925EAB" w:rsidP="00925EAB">
      <w:pPr>
        <w:pStyle w:val="a"/>
        <w:spacing w:afterLines="60" w:after="144"/>
        <w:ind w:left="284"/>
        <w:rPr>
          <w:rFonts w:ascii="Calibri" w:hAnsi="Calibri" w:cs="Calibri"/>
          <w:sz w:val="22"/>
          <w:szCs w:val="22"/>
        </w:rPr>
      </w:pPr>
      <w:r w:rsidRPr="00925EAB">
        <w:rPr>
          <w:rFonts w:ascii="Calibri" w:hAnsi="Calibri" w:cs="Calibri"/>
          <w:sz w:val="22"/>
          <w:szCs w:val="22"/>
        </w:rPr>
        <w:t>Οδική ασφάλεια με τη διασφάλιση της ασφάλειας των μετακινούμενων</w:t>
      </w:r>
    </w:p>
    <w:p w:rsidR="00925EAB" w:rsidRPr="00925EAB" w:rsidRDefault="00925EAB" w:rsidP="00925EAB">
      <w:pPr>
        <w:pStyle w:val="a"/>
        <w:spacing w:afterLines="60" w:after="144"/>
        <w:ind w:left="284"/>
        <w:rPr>
          <w:rFonts w:ascii="Calibri" w:hAnsi="Calibri" w:cs="Calibri"/>
          <w:sz w:val="22"/>
          <w:szCs w:val="22"/>
        </w:rPr>
      </w:pPr>
      <w:r w:rsidRPr="00925EAB">
        <w:rPr>
          <w:rFonts w:ascii="Calibri" w:hAnsi="Calibri" w:cs="Calibri"/>
          <w:sz w:val="22"/>
          <w:szCs w:val="22"/>
        </w:rPr>
        <w:t>Βελτίωση της ποιότητας του αστικού περιβάλλοντος με ευρύτερα οφέλη σε πολίτες, κοινωνία και οικονομία.</w:t>
      </w:r>
    </w:p>
    <w:p w:rsidR="00925EAB" w:rsidRPr="00925EAB" w:rsidRDefault="00925EAB" w:rsidP="00925EAB">
      <w:pPr>
        <w:spacing w:afterLines="60" w:after="144"/>
        <w:rPr>
          <w:rFonts w:ascii="Calibri" w:hAnsi="Calibri" w:cs="Calibri"/>
          <w:sz w:val="22"/>
          <w:szCs w:val="22"/>
        </w:rPr>
      </w:pPr>
      <w:r w:rsidRPr="00925EAB">
        <w:rPr>
          <w:rFonts w:ascii="Calibri" w:hAnsi="Calibri" w:cs="Calibri"/>
          <w:sz w:val="22"/>
          <w:szCs w:val="22"/>
        </w:rPr>
        <w:t>Μία βασική ιδιαιτερότητα ενός ΣΒΑΚ είναι η ενεργή συμμετοχή πολιτών και εμπλεκόμενων φορέων στη διαμόρφωσή του. Τα κύρια χαρακτηριστικά της διαμόρφωσης ενός ΣΒΑΚ είναι:</w:t>
      </w:r>
    </w:p>
    <w:p w:rsidR="00925EAB" w:rsidRPr="00925EAB" w:rsidRDefault="00925EAB" w:rsidP="00925EAB">
      <w:pPr>
        <w:pStyle w:val="a"/>
        <w:spacing w:afterLines="60" w:after="144"/>
        <w:ind w:left="284"/>
        <w:rPr>
          <w:rFonts w:ascii="Calibri" w:hAnsi="Calibri" w:cs="Calibri"/>
          <w:sz w:val="22"/>
          <w:szCs w:val="22"/>
        </w:rPr>
      </w:pPr>
      <w:r w:rsidRPr="00925EAB">
        <w:rPr>
          <w:rFonts w:ascii="Calibri" w:hAnsi="Calibri" w:cs="Calibri"/>
          <w:sz w:val="22"/>
          <w:szCs w:val="22"/>
        </w:rPr>
        <w:t>Η συμμετοχή πολιτών και εμπλεκόμενων φορέων μέσω διαβουλεύσεων</w:t>
      </w:r>
    </w:p>
    <w:p w:rsidR="00925EAB" w:rsidRPr="00925EAB" w:rsidRDefault="00925EAB" w:rsidP="00925EAB">
      <w:pPr>
        <w:pStyle w:val="a"/>
        <w:spacing w:afterLines="60" w:after="144"/>
        <w:ind w:left="284"/>
        <w:rPr>
          <w:rFonts w:ascii="Calibri" w:hAnsi="Calibri" w:cs="Calibri"/>
          <w:sz w:val="22"/>
          <w:szCs w:val="22"/>
        </w:rPr>
      </w:pPr>
      <w:r w:rsidRPr="00925EAB">
        <w:rPr>
          <w:rFonts w:ascii="Calibri" w:hAnsi="Calibri" w:cs="Calibri"/>
          <w:sz w:val="22"/>
          <w:szCs w:val="22"/>
        </w:rPr>
        <w:t>Η ανάλυση της υπάρχουσας κινητικότητας και οι ανάπτυξη στρατηγικών και σεναρίων για τη βελτίωση της υφιστάμενης κατάστασης</w:t>
      </w:r>
    </w:p>
    <w:p w:rsidR="00925EAB" w:rsidRPr="00925EAB" w:rsidRDefault="00925EAB" w:rsidP="00925EAB">
      <w:pPr>
        <w:pStyle w:val="a"/>
        <w:spacing w:afterLines="60" w:after="144"/>
        <w:ind w:left="284"/>
        <w:rPr>
          <w:rFonts w:ascii="Calibri" w:hAnsi="Calibri" w:cs="Calibri"/>
          <w:sz w:val="22"/>
          <w:szCs w:val="22"/>
        </w:rPr>
      </w:pPr>
      <w:r w:rsidRPr="00925EAB">
        <w:rPr>
          <w:rFonts w:ascii="Calibri" w:hAnsi="Calibri" w:cs="Calibri"/>
          <w:sz w:val="22"/>
          <w:szCs w:val="22"/>
        </w:rPr>
        <w:t>Η ανάπτυξη κοινού οράματος, και καθορισμός προτεραιοτήτων και στόχων μαζί με εμπλεκόμενους φορείς</w:t>
      </w:r>
    </w:p>
    <w:p w:rsidR="00925EAB" w:rsidRPr="00925EAB" w:rsidRDefault="00925EAB" w:rsidP="00925EAB">
      <w:pPr>
        <w:pStyle w:val="a"/>
        <w:spacing w:afterLines="60" w:after="144"/>
        <w:ind w:left="284"/>
        <w:rPr>
          <w:rFonts w:ascii="Calibri" w:hAnsi="Calibri" w:cs="Calibri"/>
          <w:sz w:val="22"/>
          <w:szCs w:val="22"/>
        </w:rPr>
      </w:pPr>
      <w:r w:rsidRPr="00925EAB">
        <w:rPr>
          <w:rFonts w:ascii="Calibri" w:hAnsi="Calibri" w:cs="Calibri"/>
          <w:sz w:val="22"/>
          <w:szCs w:val="22"/>
        </w:rPr>
        <w:t>Η ανάπτυξη εναλλακτικών πακέτων μέτρων</w:t>
      </w:r>
    </w:p>
    <w:p w:rsidR="00925EAB" w:rsidRPr="00925EAB" w:rsidRDefault="00925EAB" w:rsidP="00925EAB">
      <w:pPr>
        <w:pStyle w:val="a"/>
        <w:spacing w:afterLines="60" w:after="144"/>
        <w:ind w:left="284"/>
        <w:rPr>
          <w:rFonts w:ascii="Calibri" w:hAnsi="Calibri" w:cs="Calibri"/>
          <w:sz w:val="22"/>
          <w:szCs w:val="22"/>
        </w:rPr>
      </w:pPr>
      <w:r w:rsidRPr="00925EAB">
        <w:rPr>
          <w:rFonts w:ascii="Calibri" w:hAnsi="Calibri" w:cs="Calibri"/>
          <w:sz w:val="22"/>
          <w:szCs w:val="22"/>
        </w:rPr>
        <w:t>Η διαμόρφωση το Σχεδίου Βιώσιμης Αστικής Κινητικότητας</w:t>
      </w:r>
    </w:p>
    <w:p w:rsidR="00925EAB" w:rsidRPr="00925EAB" w:rsidRDefault="00925EAB" w:rsidP="00925EAB">
      <w:pPr>
        <w:pStyle w:val="a"/>
        <w:spacing w:afterLines="60" w:after="144"/>
        <w:ind w:left="284"/>
        <w:rPr>
          <w:rFonts w:ascii="Calibri" w:hAnsi="Calibri" w:cs="Calibri"/>
          <w:sz w:val="22"/>
          <w:szCs w:val="22"/>
        </w:rPr>
      </w:pPr>
      <w:r w:rsidRPr="00925EAB">
        <w:rPr>
          <w:rFonts w:ascii="Calibri" w:hAnsi="Calibri" w:cs="Calibri"/>
          <w:sz w:val="22"/>
          <w:szCs w:val="22"/>
        </w:rPr>
        <w:t>Η προετοιμασία ενός σχεδίου εφαρμογής για την παρακολούθηση και αξιολόγηση της υλοποίησης του ΣΒΑΚ</w:t>
      </w:r>
    </w:p>
    <w:p w:rsidR="00925EAB" w:rsidRPr="00925EAB" w:rsidRDefault="00925EAB" w:rsidP="00925EAB">
      <w:pPr>
        <w:pStyle w:val="a"/>
        <w:spacing w:afterLines="60" w:after="144"/>
        <w:ind w:left="284"/>
        <w:rPr>
          <w:rFonts w:ascii="Calibri" w:hAnsi="Calibri" w:cs="Calibri"/>
          <w:sz w:val="22"/>
          <w:szCs w:val="22"/>
        </w:rPr>
      </w:pPr>
      <w:r w:rsidRPr="00925EAB">
        <w:rPr>
          <w:rFonts w:ascii="Calibri" w:hAnsi="Calibri" w:cs="Calibri"/>
          <w:sz w:val="22"/>
          <w:szCs w:val="22"/>
        </w:rPr>
        <w:t>Η προετοιμασία στρατηγικής προώθησης και μάρκετινγκ του ΣΒΑΚ</w:t>
      </w:r>
    </w:p>
    <w:p w:rsidR="009B309D" w:rsidRPr="00925EAB" w:rsidRDefault="00925EAB" w:rsidP="00925EAB">
      <w:pPr>
        <w:spacing w:afterLines="60" w:after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Ως εκ τούτου, προσδοκούμε την ενεργή συμμετοχή όλων των </w:t>
      </w:r>
      <w:r w:rsidR="00515248">
        <w:rPr>
          <w:rFonts w:ascii="Calibri" w:hAnsi="Calibri" w:cs="Calibri"/>
          <w:sz w:val="22"/>
          <w:szCs w:val="22"/>
        </w:rPr>
        <w:t xml:space="preserve">πολιτών και εμπλεκόμενων φορέων στη διαμόρφωση του Σχεδίου Βιώσιμης Αστικής Κινητικότητας και παραμένουμε στη διάθεσή σας για οποιαδήποτε διευκρίνιση. </w:t>
      </w:r>
    </w:p>
    <w:sectPr w:rsidR="009B309D" w:rsidRPr="00925E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36B0C"/>
    <w:multiLevelType w:val="multilevel"/>
    <w:tmpl w:val="1ED8A89E"/>
    <w:lvl w:ilvl="0">
      <w:start w:val="1"/>
      <w:numFmt w:val="decimal"/>
      <w:pStyle w:val="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1">
    <w:nsid w:val="661D3743"/>
    <w:multiLevelType w:val="multilevel"/>
    <w:tmpl w:val="C35E9438"/>
    <w:lvl w:ilvl="0">
      <w:numFmt w:val="bullet"/>
      <w:pStyle w:val="a"/>
      <w:lvlText w:val="•"/>
      <w:lvlJc w:val="left"/>
      <w:pPr>
        <w:ind w:left="851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AB"/>
    <w:rsid w:val="004347F8"/>
    <w:rsid w:val="00515248"/>
    <w:rsid w:val="006D2FCB"/>
    <w:rsid w:val="00882515"/>
    <w:rsid w:val="008E7F20"/>
    <w:rsid w:val="00925EAB"/>
    <w:rsid w:val="00A06898"/>
    <w:rsid w:val="00E8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5EAB"/>
    <w:pPr>
      <w:suppressAutoHyphens/>
      <w:spacing w:after="120" w:line="240" w:lineRule="auto"/>
      <w:jc w:val="both"/>
    </w:pPr>
    <w:rPr>
      <w:rFonts w:ascii="Arial Narrow" w:hAnsi="Arial Narrow"/>
      <w:sz w:val="20"/>
      <w:szCs w:val="20"/>
    </w:rPr>
  </w:style>
  <w:style w:type="paragraph" w:styleId="1">
    <w:name w:val="heading 1"/>
    <w:basedOn w:val="a0"/>
    <w:next w:val="a0"/>
    <w:link w:val="1Char"/>
    <w:qFormat/>
    <w:rsid w:val="00925EAB"/>
    <w:pPr>
      <w:keepNext/>
      <w:keepLines/>
      <w:numPr>
        <w:numId w:val="2"/>
      </w:numPr>
      <w:spacing w:before="12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925EAB"/>
    <w:pPr>
      <w:keepNext/>
      <w:keepLines/>
      <w:numPr>
        <w:ilvl w:val="1"/>
        <w:numId w:val="2"/>
      </w:numPr>
      <w:spacing w:before="12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3">
    <w:name w:val="heading 3"/>
    <w:basedOn w:val="a0"/>
    <w:next w:val="a0"/>
    <w:link w:val="3Char"/>
    <w:unhideWhenUsed/>
    <w:qFormat/>
    <w:rsid w:val="00925EAB"/>
    <w:pPr>
      <w:keepNext/>
      <w:keepLines/>
      <w:numPr>
        <w:ilvl w:val="2"/>
        <w:numId w:val="2"/>
      </w:numPr>
      <w:spacing w:before="6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925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1"/>
    <w:link w:val="2"/>
    <w:uiPriority w:val="9"/>
    <w:rsid w:val="00925EA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Char">
    <w:name w:val="Επικεφαλίδα 3 Char"/>
    <w:basedOn w:val="a1"/>
    <w:link w:val="3"/>
    <w:rsid w:val="00925EA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">
    <w:name w:val="List Paragraph"/>
    <w:basedOn w:val="a0"/>
    <w:uiPriority w:val="34"/>
    <w:qFormat/>
    <w:rsid w:val="00925EAB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5EAB"/>
    <w:pPr>
      <w:suppressAutoHyphens/>
      <w:spacing w:after="120" w:line="240" w:lineRule="auto"/>
      <w:jc w:val="both"/>
    </w:pPr>
    <w:rPr>
      <w:rFonts w:ascii="Arial Narrow" w:hAnsi="Arial Narrow"/>
      <w:sz w:val="20"/>
      <w:szCs w:val="20"/>
    </w:rPr>
  </w:style>
  <w:style w:type="paragraph" w:styleId="1">
    <w:name w:val="heading 1"/>
    <w:basedOn w:val="a0"/>
    <w:next w:val="a0"/>
    <w:link w:val="1Char"/>
    <w:qFormat/>
    <w:rsid w:val="00925EAB"/>
    <w:pPr>
      <w:keepNext/>
      <w:keepLines/>
      <w:numPr>
        <w:numId w:val="2"/>
      </w:numPr>
      <w:spacing w:before="12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925EAB"/>
    <w:pPr>
      <w:keepNext/>
      <w:keepLines/>
      <w:numPr>
        <w:ilvl w:val="1"/>
        <w:numId w:val="2"/>
      </w:numPr>
      <w:spacing w:before="12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3">
    <w:name w:val="heading 3"/>
    <w:basedOn w:val="a0"/>
    <w:next w:val="a0"/>
    <w:link w:val="3Char"/>
    <w:unhideWhenUsed/>
    <w:qFormat/>
    <w:rsid w:val="00925EAB"/>
    <w:pPr>
      <w:keepNext/>
      <w:keepLines/>
      <w:numPr>
        <w:ilvl w:val="2"/>
        <w:numId w:val="2"/>
      </w:numPr>
      <w:spacing w:before="6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925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1"/>
    <w:link w:val="2"/>
    <w:uiPriority w:val="9"/>
    <w:rsid w:val="00925EA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Char">
    <w:name w:val="Επικεφαλίδα 3 Char"/>
    <w:basedOn w:val="a1"/>
    <w:link w:val="3"/>
    <w:rsid w:val="00925EA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">
    <w:name w:val="List Paragraph"/>
    <w:basedOn w:val="a0"/>
    <w:uiPriority w:val="34"/>
    <w:qFormat/>
    <w:rsid w:val="00925EA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Papatzikou</dc:creator>
  <cp:lastModifiedBy>Windows User</cp:lastModifiedBy>
  <cp:revision>2</cp:revision>
  <cp:lastPrinted>2019-01-07T12:41:00Z</cp:lastPrinted>
  <dcterms:created xsi:type="dcterms:W3CDTF">2019-01-14T17:21:00Z</dcterms:created>
  <dcterms:modified xsi:type="dcterms:W3CDTF">2019-01-14T17:21:00Z</dcterms:modified>
</cp:coreProperties>
</file>