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3E" w:rsidRDefault="00E1793E" w:rsidP="00CF74E8">
      <w:pPr>
        <w:spacing w:before="450" w:after="18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CC0000"/>
          <w:kern w:val="36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CC0000"/>
          <w:kern w:val="36"/>
          <w:sz w:val="24"/>
          <w:szCs w:val="24"/>
        </w:rPr>
        <w:t>Ορέστης Καρβούνης Β1</w:t>
      </w:r>
    </w:p>
    <w:p w:rsidR="00CF74E8" w:rsidRPr="00CF74E8" w:rsidRDefault="00B332F1" w:rsidP="00CF74E8">
      <w:pPr>
        <w:spacing w:before="450" w:after="18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32F1">
        <w:rPr>
          <w:rFonts w:ascii="Palatino Linotype" w:eastAsia="Times New Roman" w:hAnsi="Palatino Linotype" w:cs="Times New Roman"/>
          <w:b/>
          <w:bCs/>
          <w:color w:val="CC0000"/>
          <w:kern w:val="36"/>
          <w:sz w:val="24"/>
          <w:szCs w:val="24"/>
        </w:rPr>
        <w:t>Φώτ</w:t>
      </w:r>
      <w:r>
        <w:rPr>
          <w:rFonts w:ascii="Palatino Linotype" w:eastAsia="Times New Roman" w:hAnsi="Palatino Linotype" w:cs="Times New Roman"/>
          <w:b/>
          <w:bCs/>
          <w:color w:val="CC0000"/>
          <w:kern w:val="36"/>
          <w:sz w:val="24"/>
          <w:szCs w:val="24"/>
        </w:rPr>
        <w:t xml:space="preserve">ιος </w:t>
      </w:r>
      <w:proofErr w:type="spellStart"/>
      <w:r w:rsidRPr="00B332F1">
        <w:rPr>
          <w:rFonts w:ascii="Palatino Linotype" w:eastAsia="Times New Roman" w:hAnsi="Palatino Linotype" w:cs="Times New Roman"/>
          <w:b/>
          <w:bCs/>
          <w:color w:val="CC0000"/>
          <w:kern w:val="36"/>
          <w:sz w:val="24"/>
          <w:szCs w:val="24"/>
        </w:rPr>
        <w:t>Κόντογλου</w:t>
      </w:r>
      <w:proofErr w:type="spellEnd"/>
      <w:r w:rsidRPr="00B332F1">
        <w:rPr>
          <w:rFonts w:ascii="Palatino Linotype" w:eastAsia="Times New Roman" w:hAnsi="Palatino Linotype" w:cs="Times New Roman"/>
          <w:b/>
          <w:bCs/>
          <w:color w:val="CC0000"/>
          <w:kern w:val="36"/>
          <w:sz w:val="24"/>
          <w:szCs w:val="24"/>
        </w:rPr>
        <w:t xml:space="preserve"> (1895-1965) - </w:t>
      </w:r>
      <w:proofErr w:type="spellStart"/>
      <w:r w:rsidRPr="00B332F1">
        <w:rPr>
          <w:rFonts w:ascii="Palatino Linotype" w:eastAsia="Times New Roman" w:hAnsi="Palatino Linotype" w:cs="Times New Roman"/>
          <w:b/>
          <w:bCs/>
          <w:color w:val="CC0000"/>
          <w:kern w:val="36"/>
          <w:sz w:val="24"/>
          <w:szCs w:val="24"/>
        </w:rPr>
        <w:t>Ἁγιογράφος</w:t>
      </w:r>
      <w:proofErr w:type="spellEnd"/>
      <w:r w:rsidRPr="00B332F1">
        <w:rPr>
          <w:rFonts w:ascii="Palatino Linotype" w:eastAsia="Times New Roman" w:hAnsi="Palatino Linotype" w:cs="Times New Roman"/>
          <w:b/>
          <w:bCs/>
          <w:color w:val="CC0000"/>
          <w:kern w:val="36"/>
          <w:sz w:val="24"/>
          <w:szCs w:val="24"/>
        </w:rPr>
        <w:t xml:space="preserve"> &amp; Λογοτέχνης</w:t>
      </w:r>
      <w:r w:rsidRPr="00CF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C45" w:rsidRPr="00913C4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CF74E8" w:rsidRPr="00CF74E8" w:rsidRDefault="00CF74E8" w:rsidP="00CF74E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Ὁ Φώτιος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Κόντογλου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γεννήθηκε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στὶς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Κυδωνίες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(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Ἀϊβαλί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)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Μικρᾶς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Ἀσίας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στὶς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8 Νοεμβρίου 1895,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ὡς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τέταρτο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παιδὶ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οἰκογενείας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Νικολάου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Ἀποστολέλη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Δέσποινας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Κόντογλου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Ἕνα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χρόνο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μετὰ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γέννησή του πεθαίνει ὁ πατέρας του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κηδεμονία του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ἀναλαμβάνει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ὁ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θεῖος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ἱερομόναχος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π. Στέφανος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Κόντογλου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ἡγούμενος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οἰκογενειακοῦ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μονυδρίου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Ἁγίας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Παρασκευῆς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Ἀπὸ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ἀγάπη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εὐγνωμοσύνη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πρὸς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πρόσωπο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θείου του,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ἔλαβε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ὡς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ἐπώνυμο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ἐπίθετο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οἰκογένειας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μητέρας του.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1906 τελείωσε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δημοτικὸ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σχολεῖο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Κάτω Χώρας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ἐνεγράφη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γυμνάσιο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Ἀϊβαλί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Πρὶν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ἀκόμα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τελείωσει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γυμνάσιο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μαζὶ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μὲ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τοὺς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συμμαθητές του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Στρατῆ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Δούκα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Πάνο Βαλσαμάκη,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ἐξέδωσε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πολυγραφημένο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περιοδικὸ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«Μέλισσα».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Σεπτέμβριο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1913 ὁ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θεῖος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ἐγγράφει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Σχολὴ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Καλῶν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Τεχνῶν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Κατὰ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διάρκεια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Α´ Παγκοσμίου Πολέμου ἡ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οἰκογένειά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ἀναγκάζεται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νὰ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διακόψει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ἐπίδομα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σπουδῶν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μαζὶ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μὲ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συμμαθητή του Σπύρο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Παπαλουκᾶ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ἐργάζονται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σὲ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φωτογραφεῖα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βάφουν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θεατρικὰ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σκηνικά.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Μὲ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καταστροφὴ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Ἀϊβαλίου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(1914–1917) χάνει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μητέρα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θεῖο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του, διακόπτει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τὶς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σπουδές του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μεταβαίνει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Εὐρώπη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ὅπου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ἐργάζεται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ὡς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ἀνθρακωρύχος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. Παραμένει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Παρίσι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συνεργάζεται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μὲ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ἐφημερίδα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Illustration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1919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ἐπιστρέφει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Ἀϊβαλὶ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ὅπου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διδάσκει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γαλλικὰ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Παρθεναγωγεῖο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πόλης.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Μετὰ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Μικρασιατικὴ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Καταστροφὴ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(1922)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ἐγκαταστάθηκε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μόνιμα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Ἀθήνα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Ἀρχίζει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νὰ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δημιουργεῖ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νὰ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ὀργανώνει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τὶς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πρῶτες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ἐκθέσεις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ἔργων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του.</w:t>
      </w:r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85"/>
        <w:gridCol w:w="3090"/>
        <w:gridCol w:w="2535"/>
      </w:tblGrid>
      <w:tr w:rsidR="00CF74E8" w:rsidRPr="00CF74E8" w:rsidTr="00CF74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74E8" w:rsidRPr="00CF74E8" w:rsidRDefault="00CF74E8" w:rsidP="00CF74E8">
            <w:pPr>
              <w:spacing w:after="45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800080"/>
                <w:sz w:val="20"/>
                <w:szCs w:val="20"/>
              </w:rPr>
              <w:drawing>
                <wp:inline distT="0" distB="0" distL="0" distR="0">
                  <wp:extent cx="1314450" cy="1905000"/>
                  <wp:effectExtent l="19050" t="0" r="0" b="0"/>
                  <wp:docPr id="3" name="Εικόνα 3" descr="http://users.uoa.gr/~nektar/arts/tributes/fwths_kontogloy/kontogloy-fwths_smal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ers.uoa.gr/~nektar/arts/tributes/fwths_kontogloy/kontogloy-fwths_smal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E8" w:rsidRPr="00CF74E8" w:rsidRDefault="00CF74E8" w:rsidP="00CF74E8">
            <w:pPr>
              <w:spacing w:after="45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800080"/>
                <w:sz w:val="20"/>
                <w:szCs w:val="20"/>
              </w:rPr>
              <w:drawing>
                <wp:inline distT="0" distB="0" distL="0" distR="0">
                  <wp:extent cx="1762125" cy="1905000"/>
                  <wp:effectExtent l="19050" t="0" r="9525" b="0"/>
                  <wp:docPr id="4" name="Εικόνα 4" descr="http://users.uoa.gr/~nektar/arts/tributes/fwths_kontogloy/kontogloy-maria_smal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sers.uoa.gr/~nektar/arts/tributes/fwths_kontogloy/kontogloy-maria_small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74E8" w:rsidRPr="00CF74E8" w:rsidRDefault="00CF74E8" w:rsidP="00CF74E8">
            <w:pPr>
              <w:spacing w:after="45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800080"/>
                <w:sz w:val="20"/>
                <w:szCs w:val="20"/>
              </w:rPr>
              <w:drawing>
                <wp:inline distT="0" distB="0" distL="0" distR="0">
                  <wp:extent cx="1409700" cy="1905000"/>
                  <wp:effectExtent l="19050" t="0" r="0" b="0"/>
                  <wp:docPr id="5" name="Εικόνα 5" descr="http://users.uoa.gr/~nektar/arts/tributes/fwths_kontogloy/kontogloy-despoyla_smal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ers.uoa.gr/~nektar/arts/tributes/fwths_kontogloy/kontogloy-despoyla_smal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4E8" w:rsidRPr="00CF74E8" w:rsidRDefault="00CF74E8" w:rsidP="00CF74E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1927 παντρεύεται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συμπατριώτισσά του Μαρία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Χατζηκαμπούρη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ἴδιο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χρόνο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ἀναλαμβάνει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ἐπιμέλεια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περιοδικοῦ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Φιλικὴ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Ἑταιρεία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».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Δυὸ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χρόνια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μετὰ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γεννιέται ἡ κόρη του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Δέσπω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ἀρχίζει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συνεργασία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μὲ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περιοδικὰ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Ἑλληνικὰ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Γράμματα»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«Νέα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Ἑστία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»,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ἐνῷ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συνεχίζει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φιλοτέχνηση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σκηνικῶν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1930 προσελήφθη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ἀπὸ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Βυζαντινὸ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Μουσεῖο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Ἀθηνῶν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ὡς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τεχνικὸς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ἐπόπτης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συλλογῶν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του.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1932 κτίζει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σπίτι του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ὁδὸ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Βιζυηνοῦ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16 (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περιοχὴ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Κυπριάδου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),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ὅπου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μαζὶ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μὲ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τοὺς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μαθητές του Γιάννη Τσαρούχη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Νίκο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Ἐγγονόπουλο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ζωγραφίζουν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μὲ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νωπογραφίες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ἕνα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δωμάτιό του.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1933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βρίσκει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Αἴγυπτο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ὅπου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ἐργάζεται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γιὰ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Κοπτικὸ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Μουσεῖο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1934 συμμετέχει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19η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Biennale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Βενετίας.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Κατὰ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διάρκεια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Κατοχῆς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ἀναγκάζεται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νὰ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πουλήσει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σπίτι του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γιὰ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ἕνα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σακὶ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ἀλεύρι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!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lastRenderedPageBreak/>
        <w:t>πρῶτα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μετακατοχικὰ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χρόνια (1944–1950)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εἶναι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χρόνια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λογοτεχνικῆς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εἰκαστικῆς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δημιουργίας. Συμμετέχει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σὲ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ὁμαδικὲς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ἐκθέσεις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ζωγραφικῆς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ἐκδίδονται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πολλὰ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ἀπὸ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βιβλία του,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ἐνῷ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δεκαετία 1950-60 βρίσκεται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κορύφωση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ἁγιογραφικῆς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του δραστηριότητας.</w:t>
      </w:r>
    </w:p>
    <w:p w:rsidR="00CF74E8" w:rsidRPr="00CF74E8" w:rsidRDefault="00CF74E8" w:rsidP="00CF74E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Ἐπιστέγασμα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πλούσιου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λογοτεχνικοῦ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καλλιτεχνικοῦ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ἔργου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ἦταν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ἡ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ἀπονομὴ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παρασήμου,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Ταξιάρχη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Βασιλικοῦ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Τάγματος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Φοίνικος (1960). Ἡ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Ἀκαδημία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Ἀθηνῶν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στὶς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24 Μαρτίου 1965,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ἀπένειμε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ἀνώτατη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διάκρισή της,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Ἀριστεῖο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Γραμμάτων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Τεχνῶν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».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Ἦταν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μέλος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Καλλιτεχνικοῦ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Ἐπιμελητηρίου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Ἑλλάδος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Ἑταιρείας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Ἑλλήνων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Λογοτεχνῶν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. Ὁ Φώτης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Κόντογλου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ἐπέστρεψε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Δημιουργό,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στὶς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4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μεσημέρι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13ης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Ἰουλίου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1965,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νοσοκομεῖο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Εὐαγγελισμός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»,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ὅπου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νοσηλευόταν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ἀπὸ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τὶς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ἀρχὲς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Ἰουνίου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μετὰ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ἀπὸ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σοβαρὸ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αὐτοκινητιστικὸ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δυστύχημα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περιοχὴ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Φαλήρου.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ἐξόδιο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ἀκολουθία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του τέλεσε ὁ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Ἀρχιεπίσκοπος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Ἀθηνῶν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πάσης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Ἑλλάδος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Χρυσόστομος,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ἀπόγευμα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14ης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Ἰουλίου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στὸν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ἱερὸ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κοιμητηριακὸ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ναὸ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Α´ Νεκροταφείου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Ἀθηνῶν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ὅπου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ἔγινε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ἡ ταφή του.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Ἐπικηδείους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λόγους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ἐκφώνησαν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ὁ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Ἀρχιεπίσκοπος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Ἀθηνῶν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ὁ Μητροπολίτης Μυτιλήνης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Ἰάκωβος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ὁ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Ἀκαδημαϊκὸς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Ἠλίας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Βενέζης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Μετὰ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ἐκταφή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του ἡ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ἀνακομιδὴ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ὀστῶν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ἔγινε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Ἱερὰ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Μονὴ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Ἁγίας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Παρασκευῆς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Νέας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Μάκρης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.</w:t>
      </w:r>
    </w:p>
    <w:p w:rsidR="00CF74E8" w:rsidRPr="00CF74E8" w:rsidRDefault="00913C45" w:rsidP="00CF74E8">
      <w:pPr>
        <w:spacing w:before="100" w:beforeAutospacing="1" w:after="90" w:line="240" w:lineRule="auto"/>
        <w:outlineLvl w:val="1"/>
        <w:rPr>
          <w:rFonts w:ascii="Palatino Linotype" w:eastAsia="Times New Roman" w:hAnsi="Palatino Linotype" w:cs="Times New Roman"/>
          <w:color w:val="CC0000"/>
          <w:sz w:val="20"/>
          <w:szCs w:val="20"/>
        </w:rPr>
      </w:pPr>
      <w:hyperlink r:id="rId11" w:history="1">
        <w:r w:rsidR="00CF74E8">
          <w:rPr>
            <w:rFonts w:ascii="Palatino Linotype" w:eastAsia="Times New Roman" w:hAnsi="Palatino Linotype" w:cs="Times New Roman"/>
            <w:noProof/>
            <w:color w:val="CC0000"/>
            <w:sz w:val="20"/>
            <w:szCs w:val="20"/>
          </w:rPr>
          <w:drawing>
            <wp:anchor distT="76200" distB="76200" distL="76200" distR="7620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466850" cy="1905000"/>
              <wp:effectExtent l="19050" t="0" r="0" b="0"/>
              <wp:wrapSquare wrapText="bothSides"/>
              <wp:docPr id="1" name="Εικόνα 3" descr="http://users.uoa.gr/~nektar/arts/tributes/fwths_kontogloy/kontogloy-family2_small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users.uoa.gr/~nektar/arts/tributes/fwths_kontogloy/kontogloy-family2_small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685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proofErr w:type="spellStart"/>
      <w:r w:rsidR="00CF74E8" w:rsidRPr="00CF74E8">
        <w:rPr>
          <w:rFonts w:ascii="Palatino Linotype" w:eastAsia="Times New Roman" w:hAnsi="Palatino Linotype" w:cs="Times New Roman"/>
          <w:color w:val="CC0000"/>
          <w:sz w:val="20"/>
          <w:szCs w:val="20"/>
        </w:rPr>
        <w:t>Τὸ</w:t>
      </w:r>
      <w:proofErr w:type="spellEnd"/>
      <w:r w:rsidR="00CF74E8" w:rsidRPr="00CF74E8">
        <w:rPr>
          <w:rFonts w:ascii="Palatino Linotype" w:eastAsia="Times New Roman" w:hAnsi="Palatino Linotype" w:cs="Times New Roman"/>
          <w:color w:val="CC0000"/>
          <w:sz w:val="20"/>
          <w:szCs w:val="20"/>
        </w:rPr>
        <w:t xml:space="preserve"> λογοτεχνικό του </w:t>
      </w:r>
      <w:proofErr w:type="spellStart"/>
      <w:r w:rsidR="00CF74E8" w:rsidRPr="00CF74E8">
        <w:rPr>
          <w:rFonts w:ascii="Palatino Linotype" w:eastAsia="Times New Roman" w:hAnsi="Palatino Linotype" w:cs="Times New Roman"/>
          <w:color w:val="CC0000"/>
          <w:sz w:val="20"/>
          <w:szCs w:val="20"/>
        </w:rPr>
        <w:t>ἔργο</w:t>
      </w:r>
      <w:proofErr w:type="spellEnd"/>
    </w:p>
    <w:p w:rsidR="00CF74E8" w:rsidRPr="00CF74E8" w:rsidRDefault="00CF74E8" w:rsidP="00CF74E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γράμματα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ἐμφανίστηκε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1919,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μὲ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βιβλίο του «Πέδρο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Καζάς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».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Ἀκολούθησε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πλούσια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λογοτεχνικὴ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παραγωγὴ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μὲ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ἔκδοση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ἔργων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του: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Βασάντα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» (1923), «Ταξίδια» (1928), «Ὁ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ἀστρολάβος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» (1934), «Φημισμένοι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ἄνδρες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λησμονημένοι» (1942), «Ὁ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Θεὸς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Κόνανος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Μοναστήρι του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λεγόμενο Καταβύθιση» (1943),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Δαιμόνια της Φρυγίας,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Ἓξ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Ἀνατολῶν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πνεύματα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ὀργισμένα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» (1943),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Ἕλληνες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θαλασσινοὶ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στὶς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θάλασσες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Νοτιᾶς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Ἡ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Ἀφρικὴ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οἱ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θάλασσες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Νοτιᾶς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» (1944),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Ἱστορία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ἑνὸς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καραβιοῦ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ποὺ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χάθηκε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ἀπάνου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σὲ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μιὰ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ξέρα» (1944),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Ἱστορίες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περιστατικά» (1944),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Οἱ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ἀρχαῖοι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ἄνθρωποι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Ἀνατολῆς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» (1945), «Βίος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πολιτεία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Βλασίου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Πασκὰλ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διὰ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Χριστὸν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σαλοῦ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» (1947), «Βίος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ἄσκησις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ὁσίου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Πατρὸς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ἡμῶν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Ἁγίου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Μάρκου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Ἀναχωρητοῦ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» (1947),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Ἄνθος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ἤγουν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λόγια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ἀνθολογημένα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ἀπὸ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τοὺς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πατέρας» (1949),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Πηγὴ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ζωῆς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» (1951),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κατὰ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Ματθαῖον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Ἅγιον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Εὐαγγέλιον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ἐξηγημένον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» (1952),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θρηνητικὸ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συναξάρι Κωνσταντίνου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Παλαιολόγου» (1953),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Εἰκόνες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Παναγίας» (1953), «Βίος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πολιτεία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Ἁγίου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ἐνδόξου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Ἱερομάρτυρος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Θεράποντος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Θαυματουργοῦ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» (1955), «Ἡ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ἁγιασμένη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Ἑλλάδα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» (1957),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Ὄρη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ἅγια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» (1958),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Οἱ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Ἅγιοι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Ραφαὴλ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Νικόλαος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ἡ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Εἰκόνα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Χριστοῦ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ὁποῦ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εὑρέθη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εἰς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Καρυὰν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Θέρμης» (1961), «Ἡ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ἀπελπισία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θανάτου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εἰς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θρησκευτικὴν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ζωγραφικὴν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Δύσεως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ἡ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εἰρηνόχυτος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πλήρης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ἐλπίδος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ὀρθόδοξος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εἰκονογραφία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» (1961),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Σημεῖον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Μέγα» (1961),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Ἔργα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Α´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Ἀϊβαλὶ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ἡ πατρίδα μου» (1961),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Ἔργα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Β´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Ἀδάμαστες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ψυχές» (1961)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τέλος ἡ «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Ἔκφρασις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» (1961)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ποὺ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βραβεύθηκε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ἀπὸ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Ἀκαδημία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Ἀθηνῶν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.</w:t>
      </w:r>
    </w:p>
    <w:p w:rsidR="00CF74E8" w:rsidRPr="00CF74E8" w:rsidRDefault="00CF74E8" w:rsidP="00CF74E8">
      <w:pPr>
        <w:spacing w:before="100" w:beforeAutospacing="1" w:after="90" w:line="240" w:lineRule="auto"/>
        <w:outlineLvl w:val="1"/>
        <w:rPr>
          <w:rFonts w:ascii="Palatino Linotype" w:eastAsia="Times New Roman" w:hAnsi="Palatino Linotype" w:cs="Times New Roman"/>
          <w:color w:val="CC0000"/>
          <w:sz w:val="20"/>
          <w:szCs w:val="20"/>
        </w:rPr>
      </w:pPr>
      <w:proofErr w:type="spellStart"/>
      <w:r w:rsidRPr="00CF74E8">
        <w:rPr>
          <w:rFonts w:ascii="Palatino Linotype" w:eastAsia="Times New Roman" w:hAnsi="Palatino Linotype" w:cs="Times New Roman"/>
          <w:color w:val="CC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CC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CC0000"/>
          <w:sz w:val="20"/>
          <w:szCs w:val="20"/>
        </w:rPr>
        <w:t>ἁγιογραφικό</w:t>
      </w:r>
      <w:proofErr w:type="spellEnd"/>
      <w:r w:rsidRPr="00CF74E8">
        <w:rPr>
          <w:rFonts w:ascii="Palatino Linotype" w:eastAsia="Times New Roman" w:hAnsi="Palatino Linotype" w:cs="Times New Roman"/>
          <w:color w:val="CC0000"/>
          <w:sz w:val="20"/>
          <w:szCs w:val="20"/>
        </w:rPr>
        <w:t xml:space="preserve"> του </w:t>
      </w:r>
      <w:proofErr w:type="spellStart"/>
      <w:r w:rsidRPr="00CF74E8">
        <w:rPr>
          <w:rFonts w:ascii="Palatino Linotype" w:eastAsia="Times New Roman" w:hAnsi="Palatino Linotype" w:cs="Times New Roman"/>
          <w:color w:val="CC0000"/>
          <w:sz w:val="20"/>
          <w:szCs w:val="20"/>
        </w:rPr>
        <w:t>ἔργο</w:t>
      </w:r>
      <w:proofErr w:type="spellEnd"/>
    </w:p>
    <w:p w:rsidR="00CF74E8" w:rsidRDefault="00CF74E8" w:rsidP="00CF74E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Ὁ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Κόντογλου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κατὰ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τὴ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διάρκεια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ζωῆς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του, φιλοτέχνησε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φορητὲς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ἁγιογραφίες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τοιχογραφίες, τοπία, σχέδια βιβλίων,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περιοδικῶν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ποιητικῶν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συλλογῶν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πορτραῖτα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ἁγιογράφησε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τοὺς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ἱεροὺς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ναούς: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Ἁγίας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Λουκίας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οἰκογένειας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Ζαΐμη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Ρίο Πατρών, Ζωοδόχου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Πηγῆς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Παιανίας,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Εὐαγγελισμοῦ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Ρόδου,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Ἁγίας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Παρασκευῆς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Παιανίας,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Καπνικαρέας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Ἀθηνῶν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Ἁγίου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Ἀνδρέα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Κάτω Πατησίων,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Ἁγίου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Χαραλάμπους Πολυγώνου,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lastRenderedPageBreak/>
        <w:t>Ἁγίου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Γεωργίου Κυψέλης,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ναΰδριο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οἰκογένειας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Καμπάνη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Παιανία,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παρεκκλήσιο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Πολυκλινικῆς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Ἀθηνῶν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,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τὸ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ναΰδριο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τῆς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οἰκογένειας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Γουλανδρῆ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στὴν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Ἐκάλη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τὰ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παρεκκλήσια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τῶν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Ἱερῶν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Ναῶν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Ἁγίου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Κωνσταντίνου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Ὁμονοίας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καὶ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Ἁγίας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 Βαρβάρας </w:t>
      </w:r>
      <w:proofErr w:type="spellStart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Αἰγάλεω</w:t>
      </w:r>
      <w:proofErr w:type="spellEnd"/>
      <w:r w:rsidRPr="00CF74E8">
        <w:rPr>
          <w:rFonts w:ascii="Palatino Linotype" w:eastAsia="Times New Roman" w:hAnsi="Palatino Linotype" w:cs="Times New Roman"/>
          <w:color w:val="000000"/>
          <w:sz w:val="20"/>
          <w:szCs w:val="20"/>
        </w:rPr>
        <w:t>.</w:t>
      </w:r>
    </w:p>
    <w:p w:rsidR="00B332F1" w:rsidRPr="00B332F1" w:rsidRDefault="00913C45" w:rsidP="00B3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4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black" stroked="f"/>
        </w:pict>
      </w:r>
    </w:p>
    <w:tbl>
      <w:tblPr>
        <w:tblW w:w="0" w:type="auto"/>
        <w:jc w:val="center"/>
        <w:tblCellSpacing w:w="6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90"/>
        <w:gridCol w:w="5216"/>
      </w:tblGrid>
      <w:tr w:rsidR="00B332F1" w:rsidRPr="00B332F1" w:rsidTr="00B332F1">
        <w:trPr>
          <w:tblCellSpacing w:w="60" w:type="dxa"/>
          <w:jc w:val="center"/>
        </w:trPr>
        <w:tc>
          <w:tcPr>
            <w:tcW w:w="0" w:type="auto"/>
            <w:vAlign w:val="center"/>
            <w:hideMark/>
          </w:tcPr>
          <w:p w:rsidR="00B332F1" w:rsidRPr="00B332F1" w:rsidRDefault="00B332F1" w:rsidP="00B332F1">
            <w:pPr>
              <w:spacing w:after="45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81200" cy="3048000"/>
                  <wp:effectExtent l="19050" t="0" r="0" b="0"/>
                  <wp:docPr id="12" name="Εικόνα 12" descr="http://users.uoa.gr/~nektar/arts/tributes/fwths_kontogloy/kontogl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sers.uoa.gr/~nektar/arts/tributes/fwths_kontogloy/kontogl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Palatino Linotype" w:eastAsia="Times New Roman" w:hAnsi="Palatino Linotype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5000" cy="457200"/>
                  <wp:effectExtent l="19050" t="0" r="0" b="0"/>
                  <wp:docPr id="13" name="Εικόνα 13" descr="http://users.uoa.gr/~nektar/arts/tributes/fwths_kontogloy/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sers.uoa.gr/~nektar/arts/tributes/fwths_kontogloy/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332F1" w:rsidRPr="00B332F1" w:rsidRDefault="00B332F1" w:rsidP="00B332F1">
            <w:pPr>
              <w:spacing w:after="45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Τὸ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βυζαντινοπρεπὲς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καὶ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λαϊκότροπο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ὕφος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τοῦ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Κόντογλου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ξένισε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τὴν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ἐθισμένη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στὶς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τεχνοτροπίες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τοῦ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εὐρωπαϊκοῦ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συρμοῦ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κοινωνία,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καθὼς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δὲν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νεωτέριζε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ἀκολουθώντας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κάποια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ἤδη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ἀναγνωρισμένη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τάση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στὸ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Παρίσι,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ἀλλὰ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ἀντίθετα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καινοτομοῦσε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ἀναπλάθοντας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δημιουργικὰ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στοιχεῖα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παραδοσιακῆς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τέχνης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σὲ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ἔργα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κοσμικοῦ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περιεχομένου, προτείνοντας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τὴν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ἐπιστροφὴ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σὲ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μιὰ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«ξεχασμένη» κοσμοθεωρία.</w:t>
            </w:r>
          </w:p>
          <w:p w:rsidR="00B332F1" w:rsidRPr="00B332F1" w:rsidRDefault="00B332F1" w:rsidP="00B332F1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Οἱ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ἄνθρωποι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καταντήσανε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σὰν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ἄδεια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κανάτια,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καὶ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προσπαθοῦν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νὰ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γεμίσουν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τὸν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ἑαυτό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τους, ρίχνοντας μέσα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ἕνα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σωρὸ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σκουπίδια,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ἐκθέσεις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μὲ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τερατουργήματα,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μπάλλες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ὁμιλίες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καὶ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ἀερολογίες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καλλιστεῖα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ποὺ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μετριέται ἡ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ἐμορφιὰ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μὲ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τὴ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μεζούρα,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ἠλίθιους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καρνάβαλους, συλλόγους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λογῆς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λογῆς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μὲ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γεύματα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καὶ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μὲ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σοβαρὲς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συζητήσεις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γιὰ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τὸν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ἴσκιο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τοῦ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γαϊδάρου, συνδέσμους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ἀφιερωμένους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στοὺς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ἀποθεωμένους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ἄνδρας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τῆς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Εὐρώπης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κι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ἕνα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σωρὸ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ἀλλὰ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τέτοια.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Αὐτή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μὲ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μιὰ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ματιά,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εἶναι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ἡ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εἰκόνα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τῆς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ἀνθρωπότητας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σήμερα,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ποὺ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νὰ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μὴν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ἀβασκαθῇ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Ποῦ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νὰ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βρεῖ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κανένας καταφύγιο; ... -Δόξα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στὸν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Θεό,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ποὺ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ὑπάρχει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ἀκόμα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κάποιο καταφύγιο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γιὰ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μᾶς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ποὺ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δὲν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εἴμαστε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σὲ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θέση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νὰ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νοιώσουμε «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τὸ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μεγαλεῖο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τῆς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ἐποχῆς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μας». Δόξα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στὸν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θεὸ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ποὺ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ὑπάρχουν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ἀκόμα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κάποιοι τόποι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ποὺ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δὲν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τοὺς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ἐξήρανε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αὐτὴ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ἡ φυλλοξήρα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ποὺ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λέγεται σύγχρονος πολιτισμός.</w:t>
            </w:r>
          </w:p>
          <w:p w:rsidR="00B332F1" w:rsidRPr="00B332F1" w:rsidRDefault="00B332F1" w:rsidP="00B332F1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«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Καλὸ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εἶναι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νὰ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ὑπάρχεις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ἀλλὰ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νὰ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ζεῖς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εἶναι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ἄλλο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πρᾶγμα</w:t>
            </w:r>
            <w:proofErr w:type="spellEnd"/>
            <w:r w:rsidRPr="00B332F1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</w:tbl>
    <w:p w:rsidR="00B332F1" w:rsidRPr="00CF74E8" w:rsidRDefault="00B332F1" w:rsidP="00CF74E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</w:p>
    <w:p w:rsidR="008C4EDC" w:rsidRPr="005F24D3" w:rsidRDefault="00913C45" w:rsidP="00FE45D2">
      <w:pPr>
        <w:jc w:val="both"/>
        <w:rPr>
          <w:szCs w:val="26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Ναζωραιος" style="width:246.75pt;height:384.75pt"/>
        </w:pict>
      </w:r>
    </w:p>
    <w:sectPr w:rsidR="008C4EDC" w:rsidRPr="005F24D3" w:rsidSect="009203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433B"/>
    <w:multiLevelType w:val="hybridMultilevel"/>
    <w:tmpl w:val="2A6861F8"/>
    <w:lvl w:ilvl="0" w:tplc="6826EBAE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6211DE"/>
    <w:rsid w:val="00076ACC"/>
    <w:rsid w:val="000F1ACA"/>
    <w:rsid w:val="00154412"/>
    <w:rsid w:val="00162B14"/>
    <w:rsid w:val="001753D0"/>
    <w:rsid w:val="001C4769"/>
    <w:rsid w:val="001F69CB"/>
    <w:rsid w:val="002030C8"/>
    <w:rsid w:val="002E5711"/>
    <w:rsid w:val="003A6AB5"/>
    <w:rsid w:val="003E6D76"/>
    <w:rsid w:val="00400B8A"/>
    <w:rsid w:val="00471538"/>
    <w:rsid w:val="004A1894"/>
    <w:rsid w:val="00572B5C"/>
    <w:rsid w:val="005856DA"/>
    <w:rsid w:val="005F24D3"/>
    <w:rsid w:val="006211DE"/>
    <w:rsid w:val="006D13E2"/>
    <w:rsid w:val="00702228"/>
    <w:rsid w:val="0074771E"/>
    <w:rsid w:val="007C0C35"/>
    <w:rsid w:val="00855FA7"/>
    <w:rsid w:val="00893655"/>
    <w:rsid w:val="008C4EDC"/>
    <w:rsid w:val="008C5822"/>
    <w:rsid w:val="00913C45"/>
    <w:rsid w:val="009203EC"/>
    <w:rsid w:val="009371B1"/>
    <w:rsid w:val="009B42A0"/>
    <w:rsid w:val="00A07B4A"/>
    <w:rsid w:val="00A45F2B"/>
    <w:rsid w:val="00B332F1"/>
    <w:rsid w:val="00B46630"/>
    <w:rsid w:val="00B7290B"/>
    <w:rsid w:val="00BF69FD"/>
    <w:rsid w:val="00C40112"/>
    <w:rsid w:val="00C84219"/>
    <w:rsid w:val="00C94B95"/>
    <w:rsid w:val="00CF74E8"/>
    <w:rsid w:val="00D363B8"/>
    <w:rsid w:val="00D57680"/>
    <w:rsid w:val="00D948CA"/>
    <w:rsid w:val="00D95A0C"/>
    <w:rsid w:val="00DC78C4"/>
    <w:rsid w:val="00DD6934"/>
    <w:rsid w:val="00DF0277"/>
    <w:rsid w:val="00E1793E"/>
    <w:rsid w:val="00F35303"/>
    <w:rsid w:val="00F60918"/>
    <w:rsid w:val="00FB0B77"/>
    <w:rsid w:val="00FE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D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CF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F7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D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F74E8"/>
    <w:rPr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CF74E8"/>
    <w:rPr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CF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rsid w:val="00CF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F74E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D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users.uoa.gr/~nektar/arts/tributes/fwths_kontogloy/kontogloy-maria.jpg" TargetMode="Externa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sers.uoa.gr/~nektar/arts/tributes/fwths_kontogloy/kontogloy-family2.jpg" TargetMode="External"/><Relationship Id="rId5" Type="http://schemas.openxmlformats.org/officeDocument/2006/relationships/hyperlink" Target="http://users.uoa.gr/~nektar/arts/tributes/fwths_kontogloy/kontogloy-fwths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users.uoa.gr/~nektar/arts/tributes/fwths_kontogloy/kontogloy-despoyla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Bασίλης</dc:creator>
  <cp:lastModifiedBy>Σίσσυ</cp:lastModifiedBy>
  <cp:revision>6</cp:revision>
  <dcterms:created xsi:type="dcterms:W3CDTF">2016-10-18T14:29:00Z</dcterms:created>
  <dcterms:modified xsi:type="dcterms:W3CDTF">2016-10-20T21:11:00Z</dcterms:modified>
</cp:coreProperties>
</file>